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r>
    </w:p>
    <w:tbl>
      <w:tblPr>
        <w:tblW w:w="18058" w:type="dxa"/>
        <w:jc w:val="left"/>
        <w:tblInd w:w="-142" w:type="dxa"/>
        <w:tblLayout w:type="fixed"/>
        <w:tblCellMar>
          <w:top w:w="0" w:type="dxa"/>
          <w:left w:w="0" w:type="dxa"/>
          <w:bottom w:w="0" w:type="dxa"/>
          <w:right w:w="0" w:type="dxa"/>
        </w:tblCellMar>
      </w:tblPr>
      <w:tblGrid>
        <w:gridCol w:w="140"/>
        <w:gridCol w:w="2835"/>
        <w:gridCol w:w="7541"/>
        <w:gridCol w:w="7541"/>
      </w:tblGrid>
      <w:tr>
        <w:trPr>
          <w:trHeight w:val="340" w:hRule="atLeast"/>
        </w:trPr>
        <w:tc>
          <w:tcPr>
            <w:tcW w:w="2975" w:type="dxa"/>
            <w:gridSpan w:val="2"/>
            <w:tcBorders/>
            <w:vAlign w:val="center"/>
          </w:tcPr>
          <w:p>
            <w:pPr>
              <w:pStyle w:val="ECVPersonalInfoHeading"/>
              <w:spacing w:before="57" w:after="0"/>
              <w:rPr>
                <w:caps w:val="false"/>
                <w:smallCaps w:val="false"/>
              </w:rPr>
            </w:pPr>
            <w:r>
              <w:rPr/>
              <w:drawing>
                <wp:inline distT="0" distB="0" distL="0" distR="0">
                  <wp:extent cx="1066165" cy="1057275"/>
                  <wp:effectExtent l="0" t="0" r="0" b="0"/>
                  <wp:docPr id="1"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
                          <pic:cNvPicPr>
                            <a:picLocks noChangeAspect="1" noChangeArrowheads="1"/>
                          </pic:cNvPicPr>
                        </pic:nvPicPr>
                        <pic:blipFill>
                          <a:blip r:embed="rId2"/>
                          <a:srcRect l="-88" t="14993" r="9059" b="17782"/>
                          <a:stretch>
                            <a:fillRect/>
                          </a:stretch>
                        </pic:blipFill>
                        <pic:spPr bwMode="auto">
                          <a:xfrm>
                            <a:off x="0" y="0"/>
                            <a:ext cx="1066165" cy="1057275"/>
                          </a:xfrm>
                          <a:prstGeom prst="rect">
                            <a:avLst/>
                          </a:prstGeom>
                        </pic:spPr>
                      </pic:pic>
                    </a:graphicData>
                  </a:graphic>
                </wp:inline>
              </w:drawing>
            </w:r>
          </w:p>
          <w:p>
            <w:pPr>
              <w:pStyle w:val="ECVPersonalInfoHeading"/>
              <w:rPr>
                <w:caps w:val="false"/>
                <w:smallCaps w:val="false"/>
              </w:rPr>
            </w:pPr>
            <w:r>
              <w:rPr>
                <w:caps w:val="false"/>
                <w:smallCaps w:val="false"/>
              </w:rPr>
            </w:r>
          </w:p>
          <w:p>
            <w:pPr>
              <w:pStyle w:val="ECVPersonalInfoHeading"/>
              <w:rPr>
                <w:caps w:val="false"/>
                <w:smallCaps w:val="false"/>
              </w:rPr>
            </w:pPr>
            <w:r>
              <w:rPr>
                <w:caps w:val="false"/>
                <w:smallCaps w:val="false"/>
              </w:rPr>
            </w:r>
          </w:p>
          <w:p>
            <w:pPr>
              <w:pStyle w:val="ECVPersonalInfoHeading"/>
              <w:jc w:val="left"/>
              <w:rPr>
                <w:b/>
                <w:caps w:val="false"/>
                <w:smallCaps w:val="false"/>
                <w:color w:val="365F91"/>
              </w:rPr>
            </w:pPr>
            <w:r>
              <w:rPr>
                <w:rFonts w:eastAsia="Arial" w:cs="Arial"/>
                <w:b/>
                <w:caps w:val="false"/>
                <w:smallCaps w:val="false"/>
                <w:color w:val="365F91"/>
              </w:rPr>
              <w:t xml:space="preserve">    </w:t>
            </w:r>
            <w:r>
              <w:rPr>
                <w:b/>
                <w:caps w:val="false"/>
                <w:smallCaps w:val="false"/>
                <w:color w:val="365F91"/>
              </w:rPr>
              <w:t>INFORMAZIONI PERSONALI</w:t>
            </w:r>
          </w:p>
          <w:p>
            <w:pPr>
              <w:pStyle w:val="Titolo"/>
              <w:spacing w:before="240" w:after="120"/>
              <w:jc w:val="left"/>
              <w:rPr>
                <w:b/>
                <w:caps w:val="false"/>
                <w:smallCaps w:val="false"/>
                <w:color w:val="365F91"/>
                <w:lang w:val="it-IT"/>
              </w:rPr>
            </w:pPr>
            <w:r>
              <w:rPr>
                <w:b/>
                <w:caps w:val="false"/>
                <w:smallCaps w:val="false"/>
                <w:color w:val="365F91"/>
                <w:lang w:val="it-IT"/>
              </w:rPr>
            </w:r>
          </w:p>
        </w:tc>
        <w:tc>
          <w:tcPr>
            <w:tcW w:w="7541" w:type="dxa"/>
            <w:tcBorders/>
            <w:vAlign w:val="center"/>
          </w:tcPr>
          <w:p>
            <w:pPr>
              <w:pStyle w:val="Titolo"/>
              <w:spacing w:before="240" w:after="120"/>
              <w:jc w:val="left"/>
              <w:rPr/>
            </w:pPr>
            <w:r>
              <w:rPr>
                <w:rStyle w:val="Enfasiintensa"/>
                <w:rFonts w:cs="Times New Roman" w:ascii="Times New Roman" w:hAnsi="Times New Roman"/>
                <w:color w:val="000000"/>
                <w:sz w:val="24"/>
                <w:lang w:val="it-IT"/>
              </w:rPr>
              <w:t>Curriculum Vitae Grazia fenu pintori</w:t>
            </w:r>
          </w:p>
          <w:p>
            <w:pPr>
              <w:pStyle w:val="ECVNameField"/>
              <w:rPr>
                <w:rStyle w:val="Enfasiintensa"/>
                <w:rFonts w:ascii="Times New Roman" w:hAnsi="Times New Roman" w:cs="Times New Roman"/>
                <w:color w:val="000000"/>
                <w:sz w:val="24"/>
                <w:lang w:val="it-IT"/>
              </w:rPr>
            </w:pPr>
            <w:r>
              <w:rPr>
                <w:rFonts w:cs="Times New Roman" w:ascii="Times New Roman" w:hAnsi="Times New Roman"/>
                <w:color w:val="000000"/>
                <w:sz w:val="24"/>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Calibri" w:hAnsi="Calibri" w:eastAsia="Calibri" w:cs="Calibri"/>
                <w:caps w:val="false"/>
                <w:smallCaps w:val="false"/>
                <w:color w:val="000000"/>
                <w:sz w:val="22"/>
                <w:szCs w:val="22"/>
                <w:lang w:val="it-IT"/>
              </w:rPr>
            </w:pPr>
            <w:r>
              <w:rPr>
                <w:rFonts w:eastAsia="Calibri" w:cs="Calibri" w:ascii="Calibri" w:hAnsi="Calibri"/>
                <w:caps w:val="false"/>
                <w:smallCaps w:val="false"/>
                <w:color w:val="000000"/>
                <w:sz w:val="22"/>
                <w:szCs w:val="22"/>
                <w:lang w:val="it-IT"/>
              </w:rPr>
            </w:r>
          </w:p>
          <w:p>
            <w:pPr>
              <w:pStyle w:val="Titolo"/>
              <w:jc w:val="left"/>
              <w:rPr>
                <w:rFonts w:ascii="Times New Roman" w:hAnsi="Times New Roman" w:eastAsia="Calibri" w:cs="Times New Roman"/>
                <w:caps w:val="false"/>
                <w:smallCaps w:val="false"/>
                <w:color w:val="000000"/>
                <w:sz w:val="24"/>
                <w:szCs w:val="24"/>
                <w:lang w:val="it-IT"/>
              </w:rPr>
            </w:pPr>
            <w:r>
              <w:rPr>
                <w:rFonts w:eastAsia="Calibri" w:cs="Times New Roman" w:ascii="Times New Roman" w:hAnsi="Times New Roman"/>
                <w:caps w:val="false"/>
                <w:smallCaps w:val="false"/>
                <w:color w:val="000000"/>
                <w:sz w:val="24"/>
                <w:szCs w:val="24"/>
                <w:lang w:val="it-IT"/>
              </w:rPr>
              <w:t>Nata a Sassari il 26 gennaio 1964</w:t>
            </w:r>
          </w:p>
          <w:p>
            <w:pPr>
              <w:pStyle w:val="Titolo"/>
              <w:jc w:val="left"/>
              <w:rPr>
                <w:rFonts w:ascii="Times New Roman" w:hAnsi="Times New Roman" w:eastAsia="Calibri" w:cs="Times New Roman"/>
                <w:caps w:val="false"/>
                <w:smallCaps w:val="false"/>
                <w:color w:val="000000"/>
                <w:sz w:val="24"/>
                <w:szCs w:val="24"/>
                <w:lang w:val="it-IT"/>
              </w:rPr>
            </w:pPr>
            <w:r>
              <w:rPr>
                <w:rFonts w:eastAsia="Calibri" w:cs="Times New Roman" w:ascii="Times New Roman" w:hAnsi="Times New Roman"/>
                <w:caps w:val="false"/>
                <w:smallCaps w:val="false"/>
                <w:color w:val="000000"/>
                <w:sz w:val="24"/>
                <w:szCs w:val="24"/>
                <w:lang w:val="it-IT"/>
              </w:rPr>
              <w:t>Residente in Sassari</w:t>
            </w:r>
          </w:p>
          <w:p>
            <w:pPr>
              <w:pStyle w:val="Titolo"/>
              <w:jc w:val="left"/>
              <w:rPr>
                <w:rFonts w:ascii="Times New Roman" w:hAnsi="Times New Roman" w:eastAsia="Calibri" w:cs="Times New Roman"/>
                <w:caps w:val="false"/>
                <w:smallCaps w:val="false"/>
                <w:color w:val="000000"/>
                <w:sz w:val="24"/>
                <w:szCs w:val="24"/>
                <w:lang w:val="it-IT"/>
              </w:rPr>
            </w:pPr>
            <w:r>
              <w:rPr>
                <w:rFonts w:eastAsia="Calibri" w:cs="Times New Roman" w:ascii="Times New Roman" w:hAnsi="Times New Roman"/>
                <w:caps w:val="false"/>
                <w:smallCaps w:val="false"/>
                <w:color w:val="000000"/>
                <w:sz w:val="24"/>
                <w:szCs w:val="24"/>
                <w:lang w:val="it-IT"/>
              </w:rPr>
              <w:t>C.F:</w:t>
            </w:r>
            <w:r>
              <w:rPr/>
              <w:t xml:space="preserve"> </w:t>
            </w:r>
            <w:r>
              <w:rPr>
                <w:rFonts w:eastAsia="Calibri" w:cs="Times New Roman" w:ascii="Times New Roman" w:hAnsi="Times New Roman"/>
                <w:caps w:val="false"/>
                <w:smallCaps w:val="false"/>
                <w:color w:val="000000"/>
                <w:sz w:val="24"/>
                <w:szCs w:val="24"/>
                <w:lang w:val="it-IT"/>
              </w:rPr>
              <w:t>FNPGRZ64A66I452G</w:t>
            </w:r>
          </w:p>
          <w:p>
            <w:pPr>
              <w:pStyle w:val="Titolo"/>
              <w:jc w:val="left"/>
              <w:rPr>
                <w:rFonts w:ascii="Times New Roman" w:hAnsi="Times New Roman" w:cs="Times New Roman"/>
                <w:sz w:val="24"/>
                <w:szCs w:val="24"/>
                <w:lang w:val="it-IT"/>
              </w:rPr>
            </w:pPr>
            <w:r>
              <w:rPr>
                <w:rFonts w:eastAsia="Calibri" w:cs="Times New Roman" w:ascii="Times New Roman" w:hAnsi="Times New Roman"/>
                <w:caps w:val="false"/>
                <w:smallCaps w:val="false"/>
                <w:color w:val="000000"/>
                <w:sz w:val="24"/>
                <w:szCs w:val="24"/>
                <w:lang w:val="it-IT"/>
              </w:rPr>
              <w:t>Mail: grazia.fenupintori@unicamillus.org</w:t>
            </w:r>
          </w:p>
          <w:p>
            <w:pPr>
              <w:pStyle w:val="Titolo"/>
              <w:spacing w:before="240" w:after="120"/>
              <w:jc w:val="left"/>
              <w:rPr>
                <w:rFonts w:ascii="Times New Roman" w:hAnsi="Times New Roman" w:cs="Times New Roman"/>
                <w:color w:val="000000"/>
                <w:sz w:val="24"/>
                <w:szCs w:val="24"/>
                <w:lang w:val="it-IT"/>
              </w:rPr>
            </w:pPr>
            <w:r>
              <w:rPr>
                <w:rFonts w:cs="Times New Roman" w:ascii="Times New Roman" w:hAnsi="Times New Roman"/>
                <w:caps w:val="false"/>
                <w:smallCaps w:val="false"/>
                <w:color w:val="000000"/>
                <w:sz w:val="24"/>
                <w:szCs w:val="24"/>
                <w:lang w:val="it-IT"/>
              </w:rPr>
              <w:t>Pec: graziafenupintori@pec.it</w:t>
            </w:r>
          </w:p>
        </w:tc>
        <w:tc>
          <w:tcPr>
            <w:tcW w:w="7541" w:type="dxa"/>
            <w:tcBorders/>
          </w:tcPr>
          <w:p>
            <w:pPr>
              <w:pStyle w:val="Normal"/>
              <w:snapToGrid w:val="false"/>
              <w:rPr>
                <w:rFonts w:ascii="Times New Roman" w:hAnsi="Times New Roman" w:cs="Times New Roman"/>
                <w:color w:val="000000"/>
                <w:sz w:val="24"/>
                <w:szCs w:val="24"/>
                <w:lang w:val="it-IT"/>
              </w:rPr>
            </w:pPr>
            <w:r>
              <w:rPr>
                <w:rFonts w:cs="Times New Roman" w:ascii="Times New Roman" w:hAnsi="Times New Roman"/>
                <w:color w:val="000000"/>
                <w:sz w:val="24"/>
                <w:szCs w:val="24"/>
                <w:lang w:val="it-IT"/>
              </w:rPr>
            </w:r>
          </w:p>
        </w:tc>
      </w:tr>
      <w:tr>
        <w:trPr>
          <w:trHeight w:val="414" w:hRule="exact"/>
        </w:trPr>
        <w:tc>
          <w:tcPr>
            <w:tcW w:w="10516" w:type="dxa"/>
            <w:gridSpan w:val="3"/>
            <w:tcBorders/>
          </w:tcPr>
          <w:p>
            <w:pPr>
              <w:pStyle w:val="ECVLeftHeading"/>
              <w:snapToGrid w:val="false"/>
              <w:jc w:val="both"/>
              <w:rPr/>
            </w:pPr>
            <w:r>
              <w:rPr/>
            </w:r>
          </w:p>
        </w:tc>
        <w:tc>
          <w:tcPr>
            <w:tcW w:w="7541" w:type="dxa"/>
            <w:tcBorders/>
          </w:tcPr>
          <w:p>
            <w:pPr>
              <w:pStyle w:val="ECVContactDetails1"/>
              <w:snapToGrid w:val="false"/>
              <w:jc w:val="both"/>
              <w:rPr/>
            </w:pPr>
            <w:r>
              <w:rPr/>
            </w:r>
          </w:p>
        </w:tc>
      </w:tr>
      <w:tr>
        <w:trPr>
          <w:trHeight w:val="846" w:hRule="atLeast"/>
        </w:trPr>
        <w:tc>
          <w:tcPr>
            <w:tcW w:w="2975" w:type="dxa"/>
            <w:gridSpan w:val="2"/>
            <w:vMerge w:val="restart"/>
            <w:tcBorders/>
          </w:tcPr>
          <w:p>
            <w:pPr>
              <w:pStyle w:val="ECVLeftHeading"/>
              <w:jc w:val="left"/>
              <w:rPr/>
            </w:pPr>
            <w:r>
              <w:rPr>
                <w:rFonts w:eastAsia="Arial" w:cs="Arial"/>
                <w:b/>
                <w:color w:val="365F91"/>
              </w:rPr>
              <w:t xml:space="preserve">                         </w:t>
            </w:r>
            <w:r>
              <w:rPr>
                <w:b/>
                <w:color w:val="365F91"/>
              </w:rPr>
              <w:t>TITOLO DI STUDI</w:t>
            </w:r>
          </w:p>
          <w:p>
            <w:pPr>
              <w:pStyle w:val="Normal"/>
              <w:rPr/>
            </w:pPr>
            <w:r>
              <w:rPr/>
              <mc:AlternateContent>
                <mc:Choice Requires="wps">
                  <w:drawing>
                    <wp:anchor behindDoc="0" distT="107950" distB="107950" distL="0" distR="0" simplePos="0" locked="0" layoutInCell="1" allowOverlap="1" relativeHeight="13">
                      <wp:simplePos x="0" y="0"/>
                      <wp:positionH relativeFrom="margin">
                        <wp:align>left</wp:align>
                      </wp:positionH>
                      <wp:positionV relativeFrom="paragraph">
                        <wp:posOffset>392430</wp:posOffset>
                      </wp:positionV>
                      <wp:extent cx="1620520" cy="274320"/>
                      <wp:effectExtent l="0" t="0" r="0" b="0"/>
                      <wp:wrapSquare wrapText="bothSides"/>
                      <wp:docPr id="2" name="Cornice1"/>
                      <a:graphic xmlns:a="http://schemas.openxmlformats.org/drawingml/2006/main">
                        <a:graphicData uri="http://schemas.microsoft.com/office/word/2010/wordprocessingShape">
                          <wps:wsp>
                            <wps:cNvSpPr/>
                            <wps:spPr>
                              <a:xfrm>
                                <a:off x="0" y="0"/>
                                <a:ext cx="1620360" cy="274320"/>
                              </a:xfrm>
                              <a:prstGeom prst="rect">
                                <a:avLst/>
                              </a:prstGeom>
                              <a:solidFill>
                                <a:srgbClr val="ffffff"/>
                              </a:solidFill>
                              <a:ln w="0">
                                <a:noFill/>
                              </a:ln>
                            </wps:spPr>
                            <wps:style>
                              <a:lnRef idx="0"/>
                              <a:fillRef idx="0"/>
                              <a:effectRef idx="0"/>
                              <a:fontRef idx="minor"/>
                            </wps:style>
                            <wps:txbx>
                              <w:txbxContent>
                                <w:tbl>
                                  <w:tblPr>
                                    <w:tblW w:w="5000" w:type="pct"/>
                                    <w:jc w:val="left"/>
                                    <w:tblInd w:w="0" w:type="dxa"/>
                                    <w:tblLayout w:type="fixed"/>
                                    <w:tblCellMar>
                                      <w:top w:w="0" w:type="dxa"/>
                                      <w:left w:w="0" w:type="dxa"/>
                                      <w:bottom w:w="0" w:type="dxa"/>
                                      <w:right w:w="0" w:type="dxa"/>
                                    </w:tblCellMar>
                                  </w:tblPr>
                                  <w:tblGrid>
                                    <w:gridCol w:w="2553"/>
                                  </w:tblGrid>
                                  <w:tr>
                                    <w:trPr>
                                      <w:trHeight w:val="432" w:hRule="atLeast"/>
                                    </w:trPr>
                                    <w:tc>
                                      <w:tcPr>
                                        <w:tcW w:w="2553" w:type="dxa"/>
                                        <w:tcBorders/>
                                        <w:vAlign w:val="bottom"/>
                                      </w:tcPr>
                                      <w:p>
                                        <w:pPr>
                                          <w:pStyle w:val="ECVLeftHeading"/>
                                          <w:jc w:val="left"/>
                                          <w:rPr/>
                                        </w:pPr>
                                        <w:r>
                                          <w:rPr>
                                            <w:rFonts w:eastAsia="Arial" w:cs="Arial"/>
                                            <w:b/>
                                            <w:color w:val="365F91"/>
                                          </w:rPr>
                                          <w:t xml:space="preserve">      </w:t>
                                        </w:r>
                                        <w:r>
                                          <w:rPr>
                                            <w:b/>
                                            <w:color w:val="365F91"/>
                                          </w:rPr>
                                          <w:t>posizione ricoperta</w:t>
                                        </w:r>
                                      </w:p>
                                    </w:tc>
                                  </w:tr>
                                </w:tbl>
                                <w:p>
                                  <w:pPr>
                                    <w:pStyle w:val="Contenutocornice"/>
                                    <w:rPr/>
                                  </w:pPr>
                                  <w:r>
                                    <w:rPr/>
                                  </w:r>
                                </w:p>
                              </w:txbxContent>
                            </wps:txbx>
                            <wps:bodyPr lIns="0" rIns="0" tIns="0" bIns="0" anchor="t">
                              <a:noAutofit/>
                            </wps:bodyPr>
                          </wps:wsp>
                        </a:graphicData>
                      </a:graphic>
                    </wp:anchor>
                  </w:drawing>
                </mc:Choice>
                <mc:Fallback>
                  <w:pict>
                    <v:rect id="shape_0" ID="Cornice1" path="m0,0l-2147483645,0l-2147483645,-2147483646l0,-2147483646xe" fillcolor="white" stroked="f" o:allowincell="t" style="position:absolute;margin-left:0pt;margin-top:30.9pt;width:127.55pt;height:21.55pt;mso-wrap-style:none;v-text-anchor:middle;mso-position-horizontal:left;mso-position-horizontal-relative:margin">
                      <v:fill o:detectmouseclick="t" type="solid" color2="black"/>
                      <v:stroke color="#3465a4" joinstyle="round" endcap="flat"/>
                      <v:textbox>
                        <w:txbxContent>
                          <w:tbl>
                            <w:tblPr>
                              <w:tblW w:w="5000" w:type="pct"/>
                              <w:jc w:val="left"/>
                              <w:tblInd w:w="0" w:type="dxa"/>
                              <w:tblLayout w:type="fixed"/>
                              <w:tblCellMar>
                                <w:top w:w="0" w:type="dxa"/>
                                <w:left w:w="0" w:type="dxa"/>
                                <w:bottom w:w="0" w:type="dxa"/>
                                <w:right w:w="0" w:type="dxa"/>
                              </w:tblCellMar>
                            </w:tblPr>
                            <w:tblGrid>
                              <w:gridCol w:w="2553"/>
                            </w:tblGrid>
                            <w:tr>
                              <w:trPr>
                                <w:trHeight w:val="432" w:hRule="atLeast"/>
                              </w:trPr>
                              <w:tc>
                                <w:tcPr>
                                  <w:tcW w:w="2553" w:type="dxa"/>
                                  <w:tcBorders/>
                                  <w:vAlign w:val="bottom"/>
                                </w:tcPr>
                                <w:p>
                                  <w:pPr>
                                    <w:pStyle w:val="ECVLeftHeading"/>
                                    <w:jc w:val="left"/>
                                    <w:rPr/>
                                  </w:pPr>
                                  <w:r>
                                    <w:rPr>
                                      <w:rFonts w:eastAsia="Arial" w:cs="Arial"/>
                                      <w:b/>
                                      <w:color w:val="365F91"/>
                                    </w:rPr>
                                    <w:t xml:space="preserve">      </w:t>
                                  </w:r>
                                  <w:r>
                                    <w:rPr>
                                      <w:b/>
                                      <w:color w:val="365F91"/>
                                    </w:rPr>
                                    <w:t>posizione ricoperta</w:t>
                                  </w:r>
                                </w:p>
                              </w:tc>
                            </w:tr>
                          </w:tbl>
                          <w:p>
                            <w:pPr>
                              <w:pStyle w:val="Contenutocornice"/>
                              <w:rPr/>
                            </w:pPr>
                            <w:r>
                              <w:rPr/>
                            </w:r>
                          </w:p>
                        </w:txbxContent>
                      </v:textbox>
                      <w10:wrap type="square"/>
                    </v:rect>
                  </w:pict>
                </mc:Fallback>
              </mc:AlternateContent>
            </w:r>
          </w:p>
        </w:tc>
        <w:tc>
          <w:tcPr>
            <w:tcW w:w="7541" w:type="dxa"/>
            <w:tcBorders/>
          </w:tcPr>
          <w:p>
            <w:pPr>
              <w:pStyle w:val="Heading3"/>
              <w:spacing w:before="0" w:after="0"/>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t>1989 – Laurea In Medicina E Chirurgia</w:t>
            </w:r>
          </w:p>
          <w:p>
            <w:pPr>
              <w:pStyle w:val="Heading3"/>
              <w:spacing w:before="0" w:after="0"/>
              <w:rPr>
                <w:rFonts w:ascii="Times New Roman" w:hAnsi="Times New Roman" w:cs="Times New Roman"/>
                <w:b w:val="false"/>
                <w:color w:val="000000"/>
                <w:sz w:val="24"/>
                <w:szCs w:val="24"/>
              </w:rPr>
            </w:pPr>
            <w:r>
              <w:rPr>
                <w:rFonts w:cs="Times New Roman" w:ascii="Times New Roman" w:hAnsi="Times New Roman"/>
                <w:b w:val="false"/>
                <w:color w:val="000000"/>
                <w:sz w:val="24"/>
                <w:szCs w:val="24"/>
                <w:lang w:bidi="it-IT"/>
              </w:rPr>
              <w:t>2013 - Specializzazione In Anatomia Patologica</w:t>
            </w:r>
          </w:p>
          <w:p>
            <w:pPr>
              <w:pStyle w:val="ECVContactDetails1"/>
              <w:tabs>
                <w:tab w:val="clear" w:pos="709"/>
                <w:tab w:val="right" w:pos="8218" w:leader="none"/>
              </w:tabs>
              <w:rPr>
                <w:rFonts w:ascii="Times New Roman" w:hAnsi="Times New Roman" w:cs="Times New Roman"/>
                <w:b/>
                <w:color w:val="000000"/>
                <w:sz w:val="24"/>
                <w:szCs w:val="24"/>
              </w:rPr>
            </w:pPr>
            <w:r>
              <w:rPr>
                <w:rFonts w:cs="Times New Roman" w:ascii="Times New Roman" w:hAnsi="Times New Roman"/>
                <w:b/>
                <w:color w:val="000000"/>
                <w:sz w:val="24"/>
                <w:szCs w:val="24"/>
              </w:rPr>
            </w:r>
          </w:p>
        </w:tc>
        <w:tc>
          <w:tcPr>
            <w:tcW w:w="7541" w:type="dxa"/>
            <w:tcBorders/>
          </w:tcPr>
          <w:p>
            <w:pPr>
              <w:pStyle w:val="Normal"/>
              <w:snapToGrid w:val="false"/>
              <w:rPr/>
            </w:pPr>
            <w:r>
              <w:rPr/>
            </w:r>
          </w:p>
        </w:tc>
      </w:tr>
      <w:tr>
        <w:trPr>
          <w:trHeight w:val="971" w:hRule="atLeast"/>
        </w:trPr>
        <w:tc>
          <w:tcPr>
            <w:tcW w:w="2975" w:type="dxa"/>
            <w:gridSpan w:val="2"/>
            <w:vMerge w:val="continue"/>
            <w:tcBorders/>
          </w:tcPr>
          <w:p>
            <w:pPr>
              <w:pStyle w:val="Normal"/>
              <w:snapToGrid w:val="false"/>
              <w:rPr/>
            </w:pPr>
            <w:r>
              <w:rPr/>
            </w:r>
          </w:p>
        </w:tc>
        <w:tc>
          <w:tcPr>
            <w:tcW w:w="7541" w:type="dxa"/>
            <w:tcBorders/>
          </w:tcPr>
          <w:p>
            <w:pPr>
              <w:pStyle w:val="Heading3"/>
              <w:spacing w:before="0" w:after="0"/>
              <w:contextualSpacing/>
              <w:rPr/>
            </w:pPr>
            <w:r>
              <w:rPr>
                <w:rFonts w:cs="Times New Roman" w:ascii="Times New Roman" w:hAnsi="Times New Roman"/>
                <w:b w:val="false"/>
                <w:color w:val="000000"/>
                <w:sz w:val="24"/>
                <w:szCs w:val="24"/>
                <w:lang w:bidi="it-IT"/>
              </w:rPr>
              <w:t>2017 -  Professore associato Dipartimento di Scienze Biomediche  presso</w:t>
            </w:r>
          </w:p>
          <w:p>
            <w:pPr>
              <w:pStyle w:val="Heading3"/>
              <w:spacing w:before="0" w:after="0"/>
              <w:contextualSpacing/>
              <w:rPr>
                <w:rFonts w:ascii="Times New Roman" w:hAnsi="Times New Roman" w:cs="Times New Roman"/>
                <w:b w:val="false"/>
                <w:color w:val="000000"/>
                <w:sz w:val="24"/>
                <w:szCs w:val="24"/>
                <w:lang w:bidi="it-IT"/>
              </w:rPr>
            </w:pPr>
            <w:r>
              <w:rPr>
                <w:rFonts w:cs="Times New Roman" w:ascii="Times New Roman" w:hAnsi="Times New Roman"/>
                <w:b w:val="false"/>
                <w:color w:val="000000"/>
                <w:sz w:val="24"/>
                <w:szCs w:val="24"/>
                <w:lang w:bidi="it-IT"/>
              </w:rPr>
              <w:t xml:space="preserve">             </w:t>
            </w:r>
            <w:r>
              <w:rPr>
                <w:rFonts w:cs="Times New Roman" w:ascii="Times New Roman" w:hAnsi="Times New Roman"/>
                <w:b w:val="false"/>
                <w:color w:val="000000"/>
                <w:sz w:val="24"/>
                <w:szCs w:val="24"/>
                <w:lang w:bidi="it-IT"/>
              </w:rPr>
              <w:t>Università   degli Studi di Sassari</w:t>
            </w:r>
          </w:p>
          <w:p>
            <w:pPr>
              <w:pStyle w:val="Normal"/>
              <w:spacing w:before="0" w:after="0"/>
              <w:contextualSpacing/>
              <w:rPr>
                <w:rFonts w:ascii="Times New Roman" w:hAnsi="Times New Roman" w:cs="Times New Roman"/>
                <w:b w:val="false"/>
                <w:color w:val="000000"/>
                <w:sz w:val="24"/>
                <w:szCs w:val="24"/>
                <w:lang w:bidi="it-IT"/>
              </w:rPr>
            </w:pPr>
            <w:r>
              <w:rPr>
                <w:rFonts w:cs="Times New Roman" w:ascii="Times New Roman" w:hAnsi="Times New Roman"/>
                <w:b w:val="false"/>
                <w:color w:val="000000"/>
                <w:sz w:val="24"/>
                <w:szCs w:val="24"/>
                <w:lang w:bidi="it-IT"/>
              </w:rPr>
              <w:t>2026 – Professore associato  presso International School of Medicine in Rome</w:t>
            </w:r>
          </w:p>
        </w:tc>
        <w:tc>
          <w:tcPr>
            <w:tcW w:w="7541" w:type="dxa"/>
            <w:tcBorders/>
          </w:tcPr>
          <w:p>
            <w:pPr>
              <w:pStyle w:val="Normal"/>
              <w:snapToGrid w:val="false"/>
              <w:rPr/>
            </w:pPr>
            <w:r>
              <w:rPr/>
            </w:r>
          </w:p>
        </w:tc>
      </w:tr>
      <w:tr>
        <w:trPr>
          <w:trHeight w:val="170" w:hRule="atLeast"/>
        </w:trPr>
        <w:tc>
          <w:tcPr>
            <w:tcW w:w="140" w:type="dxa"/>
            <w:tcBorders/>
          </w:tcPr>
          <w:p>
            <w:pPr>
              <w:pStyle w:val="Contenutotabella"/>
              <w:rPr/>
            </w:pPr>
            <w:r>
              <w:rPr/>
            </w:r>
          </w:p>
        </w:tc>
        <w:tc>
          <w:tcPr>
            <w:tcW w:w="2835" w:type="dxa"/>
            <w:tcBorders/>
          </w:tcPr>
          <w:p>
            <w:pPr>
              <w:pStyle w:val="ECVLeftHeading"/>
              <w:jc w:val="left"/>
              <w:rPr>
                <w:b/>
                <w:color w:val="365F91"/>
              </w:rPr>
            </w:pPr>
            <w:r>
              <w:rPr>
                <w:b/>
                <w:caps w:val="false"/>
                <w:smallCaps w:val="false"/>
                <w:color w:val="365F91"/>
              </w:rPr>
              <w:t>ESPERIENZA    PROFESSIONALE</w:t>
            </w:r>
          </w:p>
        </w:tc>
        <w:tc>
          <w:tcPr>
            <w:tcW w:w="7541" w:type="dxa"/>
            <w:tcBorders/>
          </w:tcPr>
          <w:p>
            <w:pPr>
              <w:pStyle w:val="Heading3"/>
              <w:spacing w:before="0" w:after="0"/>
              <w:contextualSpacing/>
              <w:rPr>
                <w:rFonts w:ascii="Times New Roman" w:hAnsi="Times New Roman" w:cs="Times New Roman"/>
                <w:b w:val="false"/>
                <w:color w:val="000000"/>
                <w:sz w:val="24"/>
                <w:szCs w:val="24"/>
                <w:lang w:bidi="it-IT"/>
              </w:rPr>
            </w:pPr>
            <w:r>
              <w:rPr>
                <w:rFonts w:cs="Times New Roman" w:ascii="Times New Roman" w:hAnsi="Times New Roman"/>
                <w:b w:val="false"/>
                <w:color w:val="000000"/>
                <w:sz w:val="24"/>
                <w:szCs w:val="24"/>
              </w:rPr>
              <w:t>1997 -  Ricercatore a tempo indeterminato</w:t>
            </w:r>
          </w:p>
          <w:p>
            <w:pPr>
              <w:pStyle w:val="Heading3"/>
              <w:spacing w:before="0" w:after="0"/>
              <w:contextualSpacing/>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t xml:space="preserve">             </w:t>
            </w:r>
            <w:r>
              <w:rPr>
                <w:rFonts w:cs="Times New Roman" w:ascii="Times New Roman" w:hAnsi="Times New Roman"/>
                <w:b w:val="false"/>
                <w:color w:val="000000"/>
                <w:sz w:val="24"/>
                <w:szCs w:val="24"/>
              </w:rPr>
              <w:t>Istituto di anatomia umana normale - Università degli Studi di Sassari</w:t>
            </w:r>
          </w:p>
          <w:p>
            <w:pPr>
              <w:pStyle w:val="Heading3"/>
              <w:spacing w:before="240" w:after="60"/>
              <w:contextualSpacing/>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r>
          </w:p>
          <w:p>
            <w:pPr>
              <w:pStyle w:val="Heading3"/>
              <w:spacing w:before="0" w:after="0"/>
              <w:contextualSpacing/>
              <w:rPr>
                <w:rFonts w:ascii="Times New Roman" w:hAnsi="Times New Roman" w:cs="Times New Roman"/>
                <w:b w:val="false"/>
                <w:color w:val="000000"/>
                <w:sz w:val="24"/>
                <w:szCs w:val="24"/>
                <w:lang w:bidi="it-IT"/>
              </w:rPr>
            </w:pPr>
            <w:r>
              <w:rPr>
                <w:rFonts w:cs="Times New Roman" w:ascii="Times New Roman" w:hAnsi="Times New Roman"/>
                <w:b w:val="false"/>
                <w:color w:val="000000"/>
                <w:sz w:val="24"/>
                <w:szCs w:val="24"/>
                <w:lang w:bidi="it-IT"/>
              </w:rPr>
              <w:t>1990 - Tecnico laureato – Istituto di anatomia umana normale –</w:t>
            </w:r>
          </w:p>
          <w:p>
            <w:pPr>
              <w:pStyle w:val="Heading3"/>
              <w:spacing w:before="0" w:after="0"/>
              <w:contextualSpacing/>
              <w:rPr/>
            </w:pPr>
            <w:r>
              <w:rPr>
                <w:rFonts w:cs="Times New Roman" w:ascii="Times New Roman" w:hAnsi="Times New Roman"/>
                <w:b w:val="false"/>
                <w:color w:val="000000"/>
                <w:sz w:val="24"/>
                <w:szCs w:val="24"/>
                <w:lang w:bidi="it-IT"/>
              </w:rPr>
              <w:t xml:space="preserve">             </w:t>
            </w:r>
            <w:r>
              <w:rPr>
                <w:rFonts w:cs="Times New Roman" w:ascii="Times New Roman" w:hAnsi="Times New Roman"/>
                <w:b w:val="false"/>
                <w:color w:val="000000"/>
                <w:sz w:val="24"/>
                <w:szCs w:val="24"/>
                <w:lang w:bidi="it-IT"/>
              </w:rPr>
              <w:t>Università degli studi di Sassari</w:t>
            </w:r>
          </w:p>
          <w:p>
            <w:pPr>
              <w:pStyle w:val="Normal"/>
              <w:rPr>
                <w:rFonts w:ascii="Times New Roman" w:hAnsi="Times New Roman" w:cs="Times New Roman"/>
                <w:b/>
                <w:color w:val="000000"/>
                <w:sz w:val="24"/>
                <w:szCs w:val="24"/>
                <w:lang w:bidi="it-IT"/>
              </w:rPr>
            </w:pPr>
            <w:r>
              <w:rPr>
                <w:rFonts w:cs="Times New Roman" w:ascii="Times New Roman" w:hAnsi="Times New Roman"/>
                <w:b/>
                <w:color w:val="000000"/>
                <w:sz w:val="24"/>
                <w:szCs w:val="24"/>
                <w:lang w:bidi="it-IT"/>
              </w:rPr>
            </w:r>
          </w:p>
          <w:p>
            <w:pPr>
              <w:pStyle w:val="ECVBlueBox"/>
              <w:jc w:val="left"/>
              <w:rPr>
                <w:rFonts w:eastAsia="Arial" w:cs="Arial"/>
              </w:rPr>
            </w:pPr>
            <w:r>
              <w:rPr/>
            </w:r>
          </w:p>
        </w:tc>
        <w:tc>
          <w:tcPr>
            <w:tcW w:w="7541" w:type="dxa"/>
            <w:tcBorders/>
          </w:tcPr>
          <w:p>
            <w:pPr>
              <w:pStyle w:val="Normal"/>
              <w:snapToGrid w:val="false"/>
              <w:rPr/>
            </w:pPr>
            <w:r>
              <w:rPr/>
            </w:r>
          </w:p>
        </w:tc>
      </w:tr>
    </w:tbl>
    <w:p>
      <w:pPr>
        <w:pStyle w:val="ECVText"/>
        <w:rPr/>
      </w:pPr>
      <w:r>
        <w:rPr/>
      </w:r>
    </w:p>
    <w:tbl>
      <w:tblPr>
        <w:tblW w:w="10375" w:type="dxa"/>
        <w:jc w:val="left"/>
        <w:tblInd w:w="0" w:type="dxa"/>
        <w:tblLayout w:type="fixed"/>
        <w:tblCellMar>
          <w:top w:w="0" w:type="dxa"/>
          <w:left w:w="0" w:type="dxa"/>
          <w:bottom w:w="0" w:type="dxa"/>
          <w:right w:w="0" w:type="dxa"/>
        </w:tblCellMar>
      </w:tblPr>
      <w:tblGrid>
        <w:gridCol w:w="2835"/>
        <w:gridCol w:w="7539"/>
      </w:tblGrid>
      <w:tr>
        <w:trPr>
          <w:trHeight w:val="170" w:hRule="atLeast"/>
        </w:trPr>
        <w:tc>
          <w:tcPr>
            <w:tcW w:w="2835" w:type="dxa"/>
            <w:tcBorders/>
          </w:tcPr>
          <w:p>
            <w:pPr>
              <w:pStyle w:val="ECVLeftHeading"/>
              <w:snapToGrid w:val="false"/>
              <w:rPr>
                <w:caps w:val="false"/>
                <w:smallCaps w:val="false"/>
              </w:rPr>
            </w:pPr>
            <w:r>
              <w:rPr>
                <w:caps w:val="false"/>
                <w:smallCaps w:val="false"/>
              </w:rPr>
            </w:r>
          </w:p>
          <w:p>
            <w:pPr>
              <w:pStyle w:val="ECVLeftHeading"/>
              <w:rPr>
                <w:b/>
                <w:caps w:val="false"/>
                <w:smallCaps w:val="false"/>
              </w:rPr>
            </w:pPr>
            <w:r>
              <w:rPr>
                <w:b/>
                <w:caps w:val="false"/>
                <w:smallCaps w:val="false"/>
              </w:rPr>
            </w:r>
          </w:p>
          <w:p>
            <w:pPr>
              <w:pStyle w:val="ECVLeftHeading"/>
              <w:rPr>
                <w:b/>
                <w:color w:val="365F91"/>
              </w:rPr>
            </w:pPr>
            <w:r>
              <w:rPr>
                <w:b/>
                <w:caps w:val="false"/>
                <w:smallCaps w:val="false"/>
                <w:color w:val="365F91"/>
              </w:rPr>
              <w:t>ATTIVITA’ DIDATTICA</w:t>
            </w:r>
          </w:p>
        </w:tc>
        <w:tc>
          <w:tcPr>
            <w:tcW w:w="7539" w:type="dxa"/>
            <w:tcBorders/>
            <w:vAlign w:val="bottom"/>
          </w:tcPr>
          <w:p>
            <w:pPr>
              <w:pStyle w:val="Heading3"/>
              <w:spacing w:before="240" w:after="60"/>
              <w:contextualSpacing/>
              <w:rPr>
                <w:rFonts w:ascii="Times New Roman" w:hAnsi="Times New Roman" w:cs="Times New Roman"/>
                <w:b w:val="false"/>
                <w:caps/>
                <w:color w:val="000000"/>
                <w:sz w:val="24"/>
                <w:szCs w:val="24"/>
              </w:rPr>
            </w:pPr>
            <w:r>
              <w:rPr>
                <w:rFonts w:cs="Times New Roman" w:ascii="Times New Roman" w:hAnsi="Times New Roman"/>
                <w:color w:val="000000"/>
                <w:sz w:val="24"/>
                <w:szCs w:val="24"/>
              </w:rPr>
              <w:t>Dal 1990 al 2015</w:t>
            </w:r>
            <w:r>
              <w:rPr>
                <w:rFonts w:cs="Times New Roman" w:ascii="Times New Roman" w:hAnsi="Times New Roman"/>
                <w:b w:val="false"/>
                <w:color w:val="000000"/>
                <w:sz w:val="24"/>
                <w:szCs w:val="24"/>
              </w:rPr>
              <w:t xml:space="preserve"> Grazia Fenu Pintori ha svolto attivita’di docente nei seguenti    Corsi:</w:t>
            </w:r>
          </w:p>
          <w:p>
            <w:pPr>
              <w:pStyle w:val="Heading3"/>
              <w:numPr>
                <w:ilvl w:val="0"/>
                <w:numId w:val="3"/>
              </w:numPr>
              <w:spacing w:lineRule="auto" w:line="276" w:before="240" w:after="60"/>
              <w:contextualSpacing/>
              <w:rPr>
                <w:rFonts w:ascii="Times New Roman" w:hAnsi="Times New Roman" w:cs="Times New Roman"/>
                <w:b w:val="false"/>
                <w:color w:val="000000"/>
                <w:sz w:val="24"/>
                <w:szCs w:val="24"/>
              </w:rPr>
            </w:pPr>
            <w:r>
              <w:rPr>
                <w:rFonts w:cs="Times New Roman" w:ascii="Times New Roman" w:hAnsi="Times New Roman"/>
                <w:b w:val="false"/>
                <w:color w:val="000000"/>
                <w:sz w:val="24"/>
                <w:szCs w:val="24"/>
              </w:rPr>
              <w:t>Corso di Medicina e Chirurgia per gli insegnamenti di Anatomia umana normale, Anatomia microscopica ed Embriologia</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Fisioterapia per l’insegnamento di Anatomia umana normale</w:t>
            </w:r>
          </w:p>
          <w:p>
            <w:pPr>
              <w:pStyle w:val="Heading3"/>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color w:val="000000"/>
                <w:sz w:val="24"/>
                <w:szCs w:val="24"/>
              </w:rPr>
              <w:t xml:space="preserve">Dal 2015 </w:t>
            </w:r>
            <w:r>
              <w:rPr>
                <w:rFonts w:cs="Times New Roman" w:ascii="Times New Roman" w:hAnsi="Times New Roman"/>
                <w:color w:val="000000"/>
                <w:sz w:val="24"/>
                <w:szCs w:val="24"/>
              </w:rPr>
              <w:t>sino al 2026</w:t>
            </w:r>
            <w:r>
              <w:rPr>
                <w:rFonts w:cs="Times New Roman" w:ascii="Times New Roman" w:hAnsi="Times New Roman"/>
                <w:b w:val="false"/>
                <w:color w:val="000000"/>
                <w:sz w:val="24"/>
                <w:szCs w:val="24"/>
              </w:rPr>
              <w:t xml:space="preserve"> Grazia Fenu Pintori svolge attività di docente nei seguenti Corsi:</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Ostetricia per l’insegnamento di Anatomia umana normale</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Ostetricia per l’insegnamento di Anatomia patologica</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laurea in Infermieristica per l’insegnamento di Anatomia patologica – Università degli Studi di Sassari</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laurea in Logopedia per l’insegnamento di Anatomia umana normale</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b w:val="false"/>
                <w:color w:val="000000"/>
                <w:sz w:val="24"/>
                <w:szCs w:val="24"/>
              </w:rPr>
              <w:t>Corso di laurea in Tecnico di Laboratorio per l’insegnamento di Anatomia umana normale</w:t>
            </w:r>
          </w:p>
          <w:p>
            <w:pPr>
              <w:pStyle w:val="Heading3"/>
              <w:numPr>
                <w:ilvl w:val="0"/>
                <w:numId w:val="3"/>
              </w:numPr>
              <w:spacing w:lineRule="auto" w:line="276" w:before="240" w:after="60"/>
              <w:contextualSpacing/>
              <w:rPr>
                <w:rFonts w:ascii="Times New Roman" w:hAnsi="Times New Roman" w:cs="Times New Roman"/>
                <w:b w:val="false"/>
                <w:caps/>
                <w:color w:val="000000"/>
                <w:sz w:val="24"/>
                <w:szCs w:val="24"/>
              </w:rPr>
            </w:pPr>
            <w:r>
              <w:rPr>
                <w:rFonts w:cs="Times New Roman" w:ascii="Times New Roman" w:hAnsi="Times New Roman"/>
                <w:color w:val="000000"/>
                <w:sz w:val="24"/>
                <w:szCs w:val="24"/>
              </w:rPr>
              <w:t>Dal 2015 sino al 2023</w:t>
            </w:r>
            <w:r>
              <w:rPr>
                <w:rFonts w:cs="Times New Roman" w:ascii="Times New Roman" w:hAnsi="Times New Roman"/>
                <w:b w:val="false"/>
                <w:color w:val="000000"/>
                <w:sz w:val="24"/>
                <w:szCs w:val="24"/>
              </w:rPr>
              <w:t xml:space="preserve"> Corso di Laurea in Tecnico di Radiologia medica per l’insegnamento di Anatomia patologica</w:t>
            </w:r>
          </w:p>
          <w:p>
            <w:pPr>
              <w:pStyle w:val="Paragrafoelenco"/>
              <w:numPr>
                <w:ilvl w:val="0"/>
                <w:numId w:val="3"/>
              </w:numPr>
              <w:spacing w:lineRule="auto" w:line="276"/>
              <w:ind w:hanging="360" w:left="720" w:right="0"/>
              <w:rPr>
                <w:rFonts w:ascii="Times New Roman" w:hAnsi="Times New Roman" w:cs="Times New Roman"/>
                <w:color w:val="000000"/>
                <w:sz w:val="24"/>
              </w:rPr>
            </w:pPr>
            <w:r>
              <w:rPr>
                <w:rFonts w:cs="Times New Roman" w:ascii="Times New Roman" w:hAnsi="Times New Roman"/>
                <w:b/>
                <w:color w:val="000000"/>
                <w:sz w:val="24"/>
              </w:rPr>
              <w:t>Dal 2023 sino al 2026</w:t>
            </w:r>
            <w:r>
              <w:rPr>
                <w:rFonts w:cs="Times New Roman" w:ascii="Times New Roman" w:hAnsi="Times New Roman"/>
                <w:color w:val="000000"/>
                <w:sz w:val="24"/>
              </w:rPr>
              <w:t xml:space="preserve"> attività di docente nel Corso di Laurea in Scienze e Tecniche psicologiche dei processi cognitivi  per l’insegnamento di Anatomia del Sistema Nervoso</w:t>
            </w:r>
          </w:p>
          <w:p>
            <w:pPr>
              <w:pStyle w:val="Paragrafoelenco"/>
              <w:numPr>
                <w:ilvl w:val="0"/>
                <w:numId w:val="3"/>
              </w:numPr>
              <w:spacing w:lineRule="auto" w:line="276"/>
              <w:ind w:hanging="360" w:left="720" w:right="0"/>
              <w:rPr>
                <w:rFonts w:ascii="Times New Roman" w:hAnsi="Times New Roman" w:cs="Times New Roman"/>
                <w:color w:val="000000"/>
                <w:sz w:val="24"/>
              </w:rPr>
            </w:pPr>
            <w:r>
              <w:rPr>
                <w:rFonts w:cs="Times New Roman" w:ascii="Times New Roman" w:hAnsi="Times New Roman"/>
                <w:b/>
                <w:color w:val="000000"/>
                <w:sz w:val="24"/>
              </w:rPr>
              <w:t xml:space="preserve">Dal 2024 sino al 2026 </w:t>
            </w:r>
            <w:r>
              <w:rPr>
                <w:rFonts w:cs="Times New Roman" w:ascii="Times New Roman" w:hAnsi="Times New Roman"/>
                <w:color w:val="000000"/>
                <w:sz w:val="24"/>
              </w:rPr>
              <w:t xml:space="preserve"> attività di docente nel corso di Laurea in Scienze Infermieristiche per l’insegnamento di Anatomia patologica – UNIOLBIA – Sede staccata dell’Università degli Studi di Sassari</w:t>
            </w:r>
          </w:p>
          <w:p>
            <w:pPr>
              <w:pStyle w:val="Paragrafoelenco"/>
              <w:numPr>
                <w:ilvl w:val="0"/>
                <w:numId w:val="3"/>
              </w:numPr>
              <w:spacing w:lineRule="auto" w:line="276"/>
              <w:ind w:hanging="360" w:left="720" w:right="0"/>
              <w:rPr>
                <w:rFonts w:ascii="Times New Roman" w:hAnsi="Times New Roman" w:cs="Times New Roman"/>
                <w:color w:val="000000"/>
                <w:sz w:val="24"/>
              </w:rPr>
            </w:pPr>
            <w:r>
              <w:rPr>
                <w:rFonts w:cs="Times New Roman" w:ascii="Times New Roman" w:hAnsi="Times New Roman"/>
                <w:color w:val="000000"/>
                <w:sz w:val="24"/>
              </w:rPr>
            </w:r>
          </w:p>
          <w:p>
            <w:pPr>
              <w:pStyle w:val="ECVBlueBox"/>
              <w:rPr>
                <w:rFonts w:eastAsia="Arial" w:cs="Arial"/>
              </w:rPr>
            </w:pPr>
            <w:r>
              <w:rPr/>
            </w:r>
          </w:p>
        </w:tc>
      </w:tr>
    </w:tbl>
    <w:p>
      <w:pPr>
        <w:pStyle w:val="Normal"/>
        <w:rPr/>
      </w:pPr>
      <w:r>
        <w:rPr/>
      </w:r>
    </w:p>
    <w:tbl>
      <w:tblPr>
        <w:tblpPr w:vertAnchor="text" w:horzAnchor="text" w:tblpXSpec="left" w:bottomFromText="170" w:topFromText="6" w:tblpY="6"/>
        <w:tblW w:w="5000" w:type="pct"/>
        <w:jc w:val="left"/>
        <w:tblInd w:w="0" w:type="dxa"/>
        <w:tblLayout w:type="fixed"/>
        <w:tblCellMar>
          <w:top w:w="0" w:type="dxa"/>
          <w:left w:w="0" w:type="dxa"/>
          <w:bottom w:w="0" w:type="dxa"/>
          <w:right w:w="0" w:type="dxa"/>
        </w:tblCellMar>
      </w:tblPr>
      <w:tblGrid>
        <w:gridCol w:w="2830"/>
        <w:gridCol w:w="7545"/>
      </w:tblGrid>
      <w:tr>
        <w:trPr>
          <w:trHeight w:val="2033" w:hRule="atLeast"/>
        </w:trPr>
        <w:tc>
          <w:tcPr>
            <w:tcW w:w="2830" w:type="dxa"/>
            <w:tcBorders/>
          </w:tcPr>
          <w:p>
            <w:pPr>
              <w:pStyle w:val="ECVLeftDetails"/>
              <w:spacing w:before="23" w:after="0"/>
              <w:rPr>
                <w:b/>
              </w:rPr>
            </w:pPr>
            <w:r>
              <w:rPr>
                <w:b/>
              </w:rPr>
              <w:t>ATTIVITA’ DI  RICERCA</w:t>
            </w:r>
          </w:p>
        </w:tc>
        <w:tc>
          <w:tcPr>
            <w:tcW w:w="7545" w:type="dxa"/>
            <w:tcBorders/>
          </w:tcPr>
          <w:p>
            <w:pPr>
              <w:pStyle w:val="Normal"/>
              <w:rPr>
                <w:rFonts w:ascii="Times New Roman" w:hAnsi="Times New Roman" w:cs="Times New Roman"/>
                <w:color w:val="000000"/>
                <w:sz w:val="24"/>
              </w:rPr>
            </w:pPr>
            <w:r>
              <w:rPr>
                <w:rFonts w:cs="Times New Roman" w:ascii="Times New Roman" w:hAnsi="Times New Roman"/>
                <w:color w:val="000000"/>
                <w:sz w:val="24"/>
              </w:rPr>
              <w:t>Dal 2010 ad oggi studia l’attività degli amniociti umani sulle cellule tumorali.</w:t>
            </w:r>
          </w:p>
          <w:p>
            <w:pPr>
              <w:pStyle w:val="Normal"/>
              <w:rPr>
                <w:rFonts w:ascii="Times New Roman" w:hAnsi="Times New Roman" w:cs="Times New Roman"/>
                <w:color w:val="000000"/>
                <w:sz w:val="24"/>
              </w:rPr>
            </w:pPr>
            <w:r>
              <w:rPr>
                <w:rFonts w:cs="Times New Roman" w:ascii="Times New Roman" w:hAnsi="Times New Roman"/>
                <w:color w:val="000000"/>
                <w:sz w:val="24"/>
              </w:rPr>
            </w:r>
          </w:p>
          <w:p>
            <w:pPr>
              <w:pStyle w:val="Normal"/>
              <w:rPr>
                <w:color w:val="000000"/>
              </w:rPr>
            </w:pPr>
            <w:r>
              <w:rPr>
                <w:rFonts w:cs="Times New Roman" w:ascii="Times New Roman" w:hAnsi="Times New Roman"/>
                <w:color w:val="000000"/>
                <w:sz w:val="24"/>
              </w:rPr>
              <w:t>Dal 1990 ad oggi realizza colture cellulari e co-colture di cellule umane immortalizzate e non immortalizzate</w:t>
            </w:r>
            <w:r>
              <w:rPr>
                <w:color w:val="000000"/>
              </w:rPr>
              <w:t xml:space="preserve"> .</w:t>
            </w:r>
          </w:p>
          <w:p>
            <w:pPr>
              <w:pStyle w:val="Normal"/>
              <w:rPr>
                <w:color w:val="000000"/>
              </w:rPr>
            </w:pPr>
            <w:r>
              <w:rPr>
                <w:color w:val="000000"/>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Dal 1990 ad oggi ha acquisito esperienza nel campo della  microscopia ottica ed elettronica in trasmissione.</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rPr>
                <w:rFonts w:ascii="Times New Roman" w:hAnsi="Times New Roman" w:cs="Times New Roman"/>
                <w:color w:val="000000"/>
                <w:sz w:val="24"/>
              </w:rPr>
            </w:pPr>
            <w:r>
              <w:rPr>
                <w:rFonts w:cs="Times New Roman" w:ascii="Times New Roman" w:hAnsi="Times New Roman"/>
                <w:color w:val="000000"/>
                <w:sz w:val="24"/>
              </w:rPr>
              <w:t>Dal 1990 ad oggi l’attività di ricerca verte sullo studio delle interazioni delle cellule con componenti vegetali e sostanze antiossidanti e rigeneranti il metabolismo cellulare.</w:t>
            </w:r>
          </w:p>
          <w:p>
            <w:pPr>
              <w:pStyle w:val="Normal"/>
              <w:spacing w:lineRule="auto" w:line="276"/>
              <w:rPr>
                <w:rFonts w:ascii="Times New Roman" w:hAnsi="Times New Roman" w:cs="Times New Roman"/>
                <w:color w:val="000000"/>
                <w:sz w:val="24"/>
              </w:rPr>
            </w:pPr>
            <w:r>
              <w:rPr>
                <w:rFonts w:cs="Times New Roman" w:ascii="Times New Roman" w:hAnsi="Times New Roman"/>
                <w:color w:val="000000"/>
                <w:sz w:val="24"/>
              </w:rPr>
            </w:r>
          </w:p>
          <w:p>
            <w:pPr>
              <w:pStyle w:val="ECVSectionBullet"/>
              <w:ind w:left="113" w:right="0"/>
              <w:rPr>
                <w:color w:val="000000"/>
              </w:rPr>
            </w:pPr>
            <w:r>
              <w:rPr>
                <w:color w:val="000000"/>
              </w:rPr>
            </w:r>
          </w:p>
        </w:tc>
      </w:tr>
    </w:tbl>
    <w:p>
      <w:pPr>
        <w:pStyle w:val="ECVText"/>
        <w:rPr/>
      </w:pPr>
      <w:r>
        <w:rPr/>
      </w:r>
    </w:p>
    <w:tbl>
      <w:tblPr>
        <w:tblpPr w:vertAnchor="text" w:horzAnchor="margin" w:tblpXSpec="left" w:bottomFromText="170" w:topFromText="6" w:tblpY="42"/>
        <w:tblW w:w="5000" w:type="pct"/>
        <w:jc w:val="left"/>
        <w:tblInd w:w="0" w:type="dxa"/>
        <w:tblLayout w:type="fixed"/>
        <w:tblCellMar>
          <w:top w:w="0" w:type="dxa"/>
          <w:left w:w="0" w:type="dxa"/>
          <w:bottom w:w="0" w:type="dxa"/>
          <w:right w:w="0" w:type="dxa"/>
        </w:tblCellMar>
      </w:tblPr>
      <w:tblGrid>
        <w:gridCol w:w="2833"/>
        <w:gridCol w:w="7542"/>
      </w:tblGrid>
      <w:tr>
        <w:trPr>
          <w:trHeight w:val="170" w:hRule="atLeast"/>
        </w:trPr>
        <w:tc>
          <w:tcPr>
            <w:tcW w:w="2833" w:type="dxa"/>
            <w:tcBorders/>
          </w:tcPr>
          <w:p>
            <w:pPr>
              <w:pStyle w:val="ECVLeftDetails"/>
              <w:snapToGrid w:val="false"/>
              <w:spacing w:before="23" w:after="0"/>
              <w:jc w:val="left"/>
              <w:rPr/>
            </w:pPr>
            <w:r>
              <w:rPr/>
            </w:r>
          </w:p>
          <w:p>
            <w:pPr>
              <w:pStyle w:val="ECVLeftDetails"/>
              <w:jc w:val="left"/>
              <w:rPr/>
            </w:pPr>
            <w:r>
              <w:rPr>
                <w:rFonts w:eastAsia="Arial" w:cs="Arial"/>
              </w:rPr>
              <w:t xml:space="preserve">                                    </w:t>
            </w:r>
            <w:r>
              <w:rPr>
                <w:b/>
              </w:rPr>
              <w:t>BREVETTI</w:t>
            </w:r>
          </w:p>
          <w:p>
            <w:pPr>
              <w:pStyle w:val="ECVLeftDetails"/>
              <w:jc w:val="left"/>
              <w:rPr>
                <w:b/>
              </w:rPr>
            </w:pPr>
            <w:r>
              <w:rPr>
                <w:b/>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b/>
              </w:rPr>
            </w:pPr>
            <w:r>
              <w:rPr>
                <w:rFonts w:eastAsia="Arial" w:cs="Arial"/>
                <w:b/>
              </w:rPr>
              <w:t xml:space="preserve">                      </w:t>
            </w:r>
            <w:r>
              <w:rPr>
                <w:b/>
              </w:rPr>
              <w:t>RICONOSCIMENTI</w:t>
            </w:r>
          </w:p>
          <w:p>
            <w:pPr>
              <w:pStyle w:val="ECVLeftDetails"/>
              <w:jc w:val="left"/>
              <w:rPr>
                <w:b/>
              </w:rPr>
            </w:pPr>
            <w:r>
              <w:rPr>
                <w:b/>
              </w:rPr>
            </w:r>
          </w:p>
          <w:p>
            <w:pPr>
              <w:pStyle w:val="ECVLeftDetails"/>
              <w:jc w:val="left"/>
              <w:rPr/>
            </w:pPr>
            <w:r>
              <w:rPr/>
            </w:r>
          </w:p>
          <w:p>
            <w:pPr>
              <w:pStyle w:val="ECVLeftDetails"/>
              <w:jc w:val="left"/>
              <w:rPr>
                <w:rFonts w:eastAsia="Arial" w:cs="Arial"/>
              </w:rPr>
            </w:pPr>
            <w:r>
              <w:rPr/>
            </w:r>
          </w:p>
          <w:p>
            <w:pPr>
              <w:pStyle w:val="ECVLeftDetails"/>
              <w:jc w:val="left"/>
              <w:rPr>
                <w:rFonts w:eastAsia="Arial" w:cs="Arial"/>
              </w:rPr>
            </w:pPr>
            <w:r>
              <w:rPr/>
            </w:r>
          </w:p>
          <w:p>
            <w:pPr>
              <w:pStyle w:val="ECVLeftDetails"/>
              <w:jc w:val="left"/>
              <w:rPr/>
            </w:pPr>
            <w:r>
              <w:rPr>
                <w:rFonts w:eastAsia="Arial" w:cs="Arial"/>
                <w:b/>
              </w:rPr>
              <w:t xml:space="preserve">                                           </w:t>
            </w:r>
            <w:r>
              <w:rPr>
                <w:b/>
              </w:rPr>
              <w:t>PREMI</w:t>
            </w:r>
          </w:p>
          <w:p>
            <w:pPr>
              <w:pStyle w:val="ECVLeftDetails"/>
              <w:jc w:val="left"/>
              <w:rPr>
                <w:b/>
              </w:rPr>
            </w:pPr>
            <w:r>
              <w:rPr>
                <w:b/>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b/>
              </w:rPr>
            </w:pPr>
            <w:r>
              <w:rPr>
                <w:rFonts w:eastAsia="Arial" w:cs="Arial"/>
              </w:rPr>
              <w:t xml:space="preserve">      </w:t>
            </w:r>
            <w:r>
              <w:rPr>
                <w:b/>
              </w:rPr>
              <w:t>INCARICHI  ISTITUZIONALI</w:t>
            </w:r>
          </w:p>
          <w:p>
            <w:pPr>
              <w:pStyle w:val="ECVLeftDetails"/>
              <w:jc w:val="left"/>
              <w:rPr>
                <w:b/>
              </w:rPr>
            </w:pPr>
            <w:r>
              <w:rPr>
                <w:rFonts w:eastAsia="Arial" w:cs="Arial"/>
                <w:b/>
              </w:rPr>
              <w:t xml:space="preserve">                                </w:t>
            </w:r>
            <w:r>
              <w:rPr>
                <w:b/>
              </w:rPr>
              <w:t>ED ESTERNI</w:t>
            </w:r>
          </w:p>
          <w:p>
            <w:pPr>
              <w:pStyle w:val="ECVLeftDetails"/>
              <w:jc w:val="left"/>
              <w:rPr>
                <w:b/>
              </w:rPr>
            </w:pPr>
            <w:r>
              <w:rPr>
                <w:b/>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pPr>
            <w:r>
              <w:rPr/>
            </w:r>
          </w:p>
          <w:p>
            <w:pPr>
              <w:pStyle w:val="ECVLeftDetails"/>
              <w:jc w:val="left"/>
              <w:rPr>
                <w:rFonts w:eastAsia="Arial" w:cs="Arial"/>
              </w:rPr>
            </w:pPr>
            <w:r>
              <w:rPr/>
            </w:r>
          </w:p>
          <w:p>
            <w:pPr>
              <w:pStyle w:val="ECVLeftDetails"/>
              <w:jc w:val="left"/>
              <w:rPr/>
            </w:pPr>
            <w:r>
              <w:rPr/>
            </w:r>
          </w:p>
          <w:p>
            <w:pPr>
              <w:pStyle w:val="ECVLeftDetails"/>
              <w:jc w:val="left"/>
              <w:rPr/>
            </w:pPr>
            <w:r>
              <w:rPr/>
            </w:r>
          </w:p>
          <w:p>
            <w:pPr>
              <w:pStyle w:val="ECVLeftDetails"/>
              <w:jc w:val="left"/>
              <w:rPr>
                <w:b/>
                <w:color w:val="002060"/>
              </w:rPr>
            </w:pPr>
            <w:r>
              <w:rPr>
                <w:rFonts w:eastAsia="Arial" w:cs="Arial"/>
                <w:color w:val="002060"/>
              </w:rPr>
              <w:t xml:space="preserve">                                   </w:t>
            </w:r>
            <w:r>
              <w:rPr>
                <w:b/>
                <w:color w:val="002060"/>
              </w:rPr>
              <w:t>INCARICHI</w:t>
            </w:r>
          </w:p>
          <w:p>
            <w:pPr>
              <w:pStyle w:val="ECVLeftDetails"/>
              <w:jc w:val="left"/>
              <w:rPr>
                <w:b/>
                <w:color w:val="002060"/>
              </w:rPr>
            </w:pPr>
            <w:r>
              <w:rPr>
                <w:rFonts w:eastAsia="Arial" w:cs="Arial"/>
                <w:b/>
                <w:color w:val="002060"/>
              </w:rPr>
              <w:t xml:space="preserve">        </w:t>
            </w:r>
            <w:r>
              <w:rPr>
                <w:b/>
                <w:color w:val="002060"/>
              </w:rPr>
              <w:t>DIDATTICI  UNIVERSITARI</w:t>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b/>
                <w:color w:val="002060"/>
              </w:rPr>
            </w:r>
          </w:p>
          <w:p>
            <w:pPr>
              <w:pStyle w:val="ECVLeftDetails"/>
              <w:jc w:val="left"/>
              <w:rPr>
                <w:b/>
                <w:color w:val="002060"/>
              </w:rPr>
            </w:pPr>
            <w:r>
              <w:rPr>
                <w:rFonts w:eastAsia="Arial" w:cs="Arial"/>
                <w:color w:val="002060"/>
              </w:rPr>
              <w:t xml:space="preserve">                                   </w:t>
            </w:r>
            <w:r>
              <w:rPr>
                <w:b/>
                <w:color w:val="002060"/>
              </w:rPr>
              <w:t>INCARICHI</w:t>
            </w:r>
          </w:p>
          <w:p>
            <w:pPr>
              <w:pStyle w:val="ECVLeftDetails"/>
              <w:jc w:val="left"/>
              <w:rPr/>
            </w:pPr>
            <w:r>
              <w:rPr>
                <w:rFonts w:eastAsia="Arial" w:cs="Arial"/>
                <w:b/>
                <w:color w:val="002060"/>
              </w:rPr>
              <w:t xml:space="preserve">                  </w:t>
            </w:r>
            <w:r>
              <w:rPr>
                <w:b/>
                <w:color w:val="002060"/>
              </w:rPr>
              <w:t>DIDATTICI  ESTERNI</w:t>
            </w:r>
          </w:p>
          <w:p>
            <w:pPr>
              <w:pStyle w:val="ECVLeftDetails"/>
              <w:jc w:val="left"/>
              <w:rPr>
                <w:b/>
                <w:color w:val="002060"/>
              </w:rPr>
            </w:pPr>
            <w:r>
              <w:rPr>
                <w:b/>
                <w:color w:val="002060"/>
              </w:rPr>
            </w:r>
          </w:p>
        </w:tc>
        <w:tc>
          <w:tcPr>
            <w:tcW w:w="7542" w:type="dxa"/>
            <w:tcBorders/>
          </w:tcPr>
          <w:p>
            <w:pPr>
              <w:pStyle w:val="Normal"/>
              <w:snapToGrid w:val="false"/>
              <w:spacing w:before="0" w:after="0"/>
              <w:contextualSpacing/>
              <w:rPr>
                <w:rFonts w:ascii="Times New Roman" w:hAnsi="Times New Roman" w:cs="Times New Roman"/>
                <w:b/>
                <w:color w:val="000000"/>
                <w:sz w:val="24"/>
              </w:rPr>
            </w:pPr>
            <w:r>
              <w:rPr>
                <w:rFonts w:cs="Times New Roman" w:ascii="Times New Roman" w:hAnsi="Times New Roman"/>
                <w:b/>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2023 Inventrice e titolare unica del </w:t>
            </w:r>
            <w:r>
              <w:rPr>
                <w:rFonts w:cs="Times New Roman" w:ascii="Times New Roman" w:hAnsi="Times New Roman"/>
                <w:b/>
                <w:color w:val="000000"/>
                <w:sz w:val="24"/>
              </w:rPr>
              <w:t>brevetto europeo WO 2017/085749</w:t>
            </w:r>
            <w:r>
              <w:rPr>
                <w:rFonts w:cs="Times New Roman" w:ascii="Times New Roman" w:hAnsi="Times New Roman"/>
                <w:color w:val="000000"/>
                <w:sz w:val="24"/>
              </w:rPr>
              <w:t xml:space="preserve"> </w:t>
            </w:r>
            <w:r>
              <w:rPr>
                <w:rFonts w:cs="Times New Roman" w:ascii="Times New Roman" w:hAnsi="Times New Roman"/>
                <w:b/>
                <w:color w:val="000000"/>
                <w:sz w:val="24"/>
              </w:rPr>
              <w:t>AI</w:t>
            </w:r>
            <w:r>
              <w:rPr>
                <w:rFonts w:cs="Times New Roman" w:ascii="Times New Roman" w:hAnsi="Times New Roman"/>
                <w:color w:val="000000"/>
                <w:sz w:val="24"/>
              </w:rPr>
              <w:t xml:space="preserve"> - atto notarile n. 5602 vol. 1T, Rep. N. 31.141. - Raccolta n.12.825</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2021 Cessione della titolarità unica con delibera del CdA del 14 gennaio 2021</w:t>
            </w:r>
          </w:p>
          <w:p>
            <w:pPr>
              <w:pStyle w:val="Normal"/>
              <w:spacing w:before="0" w:after="0"/>
              <w:contextualSpacing/>
              <w:rPr>
                <w:rFonts w:ascii="Times New Roman" w:hAnsi="Times New Roman" w:cs="Times New Roman"/>
                <w:color w:val="000000"/>
                <w:sz w:val="24"/>
              </w:rPr>
            </w:pPr>
            <w:r>
              <w:rPr>
                <w:rFonts w:eastAsia="Times New Roman" w:cs="Times New Roman" w:ascii="Times New Roman" w:hAnsi="Times New Roman"/>
                <w:color w:val="000000"/>
                <w:sz w:val="24"/>
              </w:rPr>
              <w:t xml:space="preserve">          </w:t>
            </w:r>
            <w:r>
              <w:rPr>
                <w:rFonts w:cs="Times New Roman" w:ascii="Times New Roman" w:hAnsi="Times New Roman"/>
                <w:color w:val="000000"/>
                <w:sz w:val="24"/>
              </w:rPr>
              <w:t>dell’Università degli Studi di Sassari . (Numero protocollo: 4126/2021)</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2017 </w:t>
            </w:r>
            <w:r>
              <w:rPr>
                <w:rFonts w:cs="Times New Roman" w:ascii="Times New Roman" w:hAnsi="Times New Roman"/>
                <w:b/>
                <w:color w:val="000000"/>
                <w:sz w:val="24"/>
              </w:rPr>
              <w:t>Inventrice unica del brevetto europeo WO 2017/085749 AI</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2015 Attestato di riconoscimento dell’Università degli Studi di Sassari di    </w:t>
            </w:r>
            <w:r>
              <w:rPr>
                <w:rFonts w:cs="Times New Roman" w:ascii="Times New Roman" w:hAnsi="Times New Roman"/>
                <w:b/>
                <w:color w:val="000000"/>
                <w:sz w:val="24"/>
              </w:rPr>
              <w:t>PHA.RE.CO</w:t>
            </w:r>
            <w:r>
              <w:rPr>
                <w:rFonts w:cs="Times New Roman" w:ascii="Times New Roman" w:hAnsi="Times New Roman"/>
                <w:color w:val="000000"/>
                <w:sz w:val="24"/>
              </w:rPr>
              <w:t xml:space="preserve"> quale spin off non partecipata.</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2013 – Amministratore unico di PHARECO srl – passaggio da Start up a srl obbligato</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2012 - </w:t>
            </w:r>
            <w:r>
              <w:rPr>
                <w:rFonts w:cs="Times New Roman" w:ascii="Times New Roman" w:hAnsi="Times New Roman"/>
                <w:b/>
                <w:color w:val="000000"/>
                <w:sz w:val="24"/>
              </w:rPr>
              <w:t>1° Premio Nazionale Italia Camp</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2012  -</w:t>
            </w:r>
            <w:r>
              <w:rPr>
                <w:rFonts w:cs="Times New Roman" w:ascii="Times New Roman" w:hAnsi="Times New Roman"/>
                <w:b/>
                <w:color w:val="000000"/>
                <w:sz w:val="24"/>
              </w:rPr>
              <w:t>7° Posizione nazionale “ Settore LifeScience”</w:t>
            </w:r>
            <w:r>
              <w:rPr>
                <w:rFonts w:cs="Times New Roman" w:ascii="Times New Roman" w:hAnsi="Times New Roman"/>
                <w:color w:val="000000"/>
                <w:sz w:val="24"/>
              </w:rPr>
              <w:t xml:space="preserve">  - Bari</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2012 - Vincitrice di start up </w:t>
            </w:r>
            <w:r>
              <w:rPr>
                <w:rFonts w:cs="Times New Roman" w:ascii="Times New Roman" w:hAnsi="Times New Roman"/>
                <w:b/>
                <w:color w:val="000000"/>
                <w:sz w:val="24"/>
              </w:rPr>
              <w:t>PHA.RE.CO</w:t>
            </w:r>
          </w:p>
          <w:p>
            <w:pPr>
              <w:pStyle w:val="Normal"/>
              <w:spacing w:before="0" w:after="0"/>
              <w:contextualSpacing/>
              <w:rPr/>
            </w:pPr>
            <w:r>
              <w:rPr>
                <w:rFonts w:cs="Times New Roman" w:ascii="Times New Roman" w:hAnsi="Times New Roman"/>
                <w:color w:val="000000"/>
                <w:sz w:val="24"/>
              </w:rPr>
              <w:t>(</w:t>
            </w:r>
            <w:r>
              <w:rPr>
                <w:rFonts w:cs="Times New Roman" w:ascii="Times New Roman" w:hAnsi="Times New Roman"/>
                <w:b/>
                <w:color w:val="000000"/>
                <w:sz w:val="24"/>
              </w:rPr>
              <w:t>PHA</w:t>
            </w:r>
            <w:r>
              <w:rPr>
                <w:rFonts w:cs="Times New Roman" w:ascii="Times New Roman" w:hAnsi="Times New Roman"/>
                <w:color w:val="000000"/>
                <w:sz w:val="24"/>
              </w:rPr>
              <w:t xml:space="preserve">rmaceutical - </w:t>
            </w:r>
            <w:r>
              <w:rPr>
                <w:rFonts w:cs="Times New Roman" w:ascii="Times New Roman" w:hAnsi="Times New Roman"/>
                <w:b/>
                <w:color w:val="000000"/>
                <w:sz w:val="24"/>
              </w:rPr>
              <w:t>RE</w:t>
            </w:r>
            <w:r>
              <w:rPr>
                <w:rFonts w:cs="Times New Roman" w:ascii="Times New Roman" w:hAnsi="Times New Roman"/>
                <w:color w:val="000000"/>
                <w:sz w:val="24"/>
              </w:rPr>
              <w:t xml:space="preserve">search -  </w:t>
            </w:r>
            <w:r>
              <w:rPr>
                <w:rFonts w:cs="Times New Roman" w:ascii="Times New Roman" w:hAnsi="Times New Roman"/>
                <w:b/>
                <w:color w:val="000000"/>
                <w:sz w:val="24"/>
              </w:rPr>
              <w:t>CO</w:t>
            </w:r>
            <w:r>
              <w:rPr>
                <w:rFonts w:cs="Times New Roman" w:ascii="Times New Roman" w:hAnsi="Times New Roman"/>
                <w:color w:val="000000"/>
                <w:sz w:val="24"/>
              </w:rPr>
              <w:t>smetic) per la Regione Sardegna</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ECVSectionDetails"/>
              <w:rPr>
                <w:color w:val="000000"/>
              </w:rPr>
            </w:pPr>
            <w:r>
              <w:rPr>
                <w:color w:val="000000"/>
              </w:rPr>
            </w:r>
          </w:p>
          <w:p>
            <w:pPr>
              <w:pStyle w:val="ECVSectionDetails"/>
              <w:rPr/>
            </w:pPr>
            <w:r>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 xml:space="preserve">2024 </w:t>
            </w:r>
            <w:r>
              <w:rPr>
                <w:rFonts w:cs="Times New Roman" w:ascii="Times New Roman" w:hAnsi="Times New Roman"/>
                <w:b/>
                <w:color w:val="000000"/>
                <w:sz w:val="24"/>
              </w:rPr>
              <w:t>Responsabile scientifico</w:t>
            </w:r>
            <w:r>
              <w:rPr>
                <w:rFonts w:cs="Times New Roman" w:ascii="Times New Roman" w:hAnsi="Times New Roman"/>
                <w:color w:val="000000"/>
                <w:sz w:val="24"/>
              </w:rPr>
              <w:t xml:space="preserve"> del Progetto di ricerca LIFEAMNIOS, interamente finanziato da privato (MT srl) per lo sviluppo del brevetto europeo</w:t>
            </w:r>
          </w:p>
          <w:p>
            <w:pPr>
              <w:pStyle w:val="Normal"/>
              <w:spacing w:before="0" w:after="0"/>
              <w:contextualSpacing/>
              <w:rPr>
                <w:rFonts w:ascii="Times New Roman" w:hAnsi="Times New Roman" w:cs="Times New Roman"/>
                <w:b/>
                <w:color w:val="000000"/>
                <w:sz w:val="24"/>
              </w:rPr>
            </w:pPr>
            <w:r>
              <w:rPr>
                <w:rFonts w:cs="Times New Roman" w:ascii="Times New Roman" w:hAnsi="Times New Roman"/>
                <w:b/>
                <w:color w:val="000000"/>
                <w:sz w:val="24"/>
              </w:rPr>
              <w:t>WO 2017/085749 AI</w:t>
            </w:r>
          </w:p>
          <w:p>
            <w:pPr>
              <w:pStyle w:val="Normal"/>
              <w:spacing w:before="0" w:after="0"/>
              <w:contextualSpacing/>
              <w:rPr>
                <w:rFonts w:ascii="Times New Roman" w:hAnsi="Times New Roman" w:cs="Times New Roman"/>
                <w:b/>
                <w:color w:val="000000"/>
                <w:sz w:val="24"/>
              </w:rPr>
            </w:pPr>
            <w:r>
              <w:rPr>
                <w:rFonts w:cs="Times New Roman" w:ascii="Times New Roman" w:hAnsi="Times New Roman"/>
                <w:b/>
                <w:color w:val="000000"/>
                <w:sz w:val="24"/>
              </w:rPr>
            </w:r>
          </w:p>
          <w:p>
            <w:pPr>
              <w:pStyle w:val="Normal"/>
              <w:spacing w:before="0" w:after="0"/>
              <w:contextualSpacing/>
              <w:rPr/>
            </w:pPr>
            <w:r>
              <w:rPr>
                <w:rFonts w:cs="Times New Roman" w:ascii="Times New Roman" w:hAnsi="Times New Roman"/>
                <w:color w:val="000000"/>
                <w:sz w:val="24"/>
              </w:rPr>
              <w:t xml:space="preserve">2024 </w:t>
            </w:r>
            <w:r>
              <w:rPr>
                <w:rFonts w:cs="Times New Roman" w:ascii="Times New Roman" w:hAnsi="Times New Roman"/>
                <w:b/>
                <w:color w:val="000000"/>
                <w:sz w:val="24"/>
              </w:rPr>
              <w:t xml:space="preserve">Responsabile scientifica </w:t>
            </w:r>
            <w:r>
              <w:rPr>
                <w:rFonts w:cs="Times New Roman" w:ascii="Times New Roman" w:hAnsi="Times New Roman"/>
                <w:color w:val="000000"/>
                <w:sz w:val="24"/>
              </w:rPr>
              <w:t>del Polo di Ricerca scientifica e della Salute, per lo studio dei longevi di Sardegna sito presso Poligono Interforze di Perdasdefogu (Ogliastra)</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pPr>
            <w:r>
              <w:rPr>
                <w:rFonts w:cs="Times New Roman" w:ascii="Times New Roman" w:hAnsi="Times New Roman"/>
                <w:color w:val="000000"/>
                <w:sz w:val="24"/>
              </w:rPr>
              <w:t xml:space="preserve">2022 </w:t>
            </w:r>
            <w:r>
              <w:rPr>
                <w:rFonts w:cs="Times New Roman" w:ascii="Times New Roman" w:hAnsi="Times New Roman"/>
                <w:b/>
                <w:color w:val="000000"/>
                <w:sz w:val="24"/>
              </w:rPr>
              <w:t>Responsabile unica</w:t>
            </w:r>
            <w:r>
              <w:rPr>
                <w:rFonts w:cs="Times New Roman" w:ascii="Times New Roman" w:hAnsi="Times New Roman"/>
                <w:color w:val="000000"/>
                <w:sz w:val="24"/>
              </w:rPr>
              <w:t xml:space="preserve"> per la Sardegna per lo studio delle malattie ambientali e del monitoraggio ambientale, - studio su longevi , atleti ed altra popolazione sarda - mediante utilizzo di Intelligenza Artificiale SDRIVE su incarico di CellWellbeing (USA) in collaborazione con Università degli Studi di Sassari</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pPr>
            <w:r>
              <w:rPr>
                <w:rFonts w:cs="Times New Roman" w:ascii="Times New Roman" w:hAnsi="Times New Roman"/>
                <w:color w:val="000000"/>
                <w:sz w:val="24"/>
              </w:rPr>
              <w:t xml:space="preserve">2021 </w:t>
            </w:r>
            <w:r>
              <w:rPr>
                <w:rFonts w:cs="Times New Roman" w:ascii="Times New Roman" w:hAnsi="Times New Roman"/>
                <w:b/>
                <w:color w:val="000000"/>
                <w:sz w:val="24"/>
              </w:rPr>
              <w:t>Responsabile</w:t>
            </w:r>
            <w:r>
              <w:rPr>
                <w:rFonts w:cs="Times New Roman" w:ascii="Times New Roman" w:hAnsi="Times New Roman"/>
                <w:color w:val="000000"/>
                <w:sz w:val="24"/>
              </w:rPr>
              <w:t xml:space="preserve"> su incarico del Rettore dell’Università degli Studi di Sassari per la custodia e la responsabilità scientifica degli studi del DNA sardo, responsabile dei rapporti scientifici e collaborativi con le Blue Zone del mondo</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pPr>
            <w:r>
              <w:rPr>
                <w:rFonts w:cs="Times New Roman" w:ascii="Times New Roman" w:hAnsi="Times New Roman"/>
                <w:color w:val="000000"/>
                <w:sz w:val="24"/>
              </w:rPr>
              <w:t xml:space="preserve">2020 </w:t>
            </w:r>
            <w:r>
              <w:rPr>
                <w:rFonts w:cs="Times New Roman" w:ascii="Times New Roman" w:hAnsi="Times New Roman"/>
                <w:b/>
                <w:color w:val="000000"/>
                <w:sz w:val="24"/>
              </w:rPr>
              <w:t>Responsabile</w:t>
            </w:r>
            <w:r>
              <w:rPr>
                <w:rFonts w:cs="Times New Roman" w:ascii="Times New Roman" w:hAnsi="Times New Roman"/>
                <w:color w:val="000000"/>
                <w:sz w:val="24"/>
              </w:rPr>
              <w:t xml:space="preserve"> del Comitato scientifico dell’Associazione per la tutela del DNA ogliastrino e della Barbagia di Seulo (IOBS)</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ECVSectionDetails"/>
              <w:rPr>
                <w:color w:val="000000"/>
              </w:rPr>
            </w:pPr>
            <w:r>
              <w:rPr>
                <w:color w:val="000000"/>
              </w:rPr>
            </w:r>
          </w:p>
          <w:p>
            <w:pPr>
              <w:pStyle w:val="ECVSectionDetails"/>
              <w:rPr/>
            </w:pPr>
            <w:r>
              <w:rPr/>
            </w:r>
          </w:p>
          <w:p>
            <w:pPr>
              <w:pStyle w:val="ECVSectionDetails"/>
              <w:rPr/>
            </w:pPr>
            <w:r>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2025 Cotutor: Scuola di Dottorato in Life Sciences and Biotechnologies “Epigenetica applicata alla salute ed al benessere della persona” – Progetto Finanziato da Azienda Privata (EPINUTRACELL srl).</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t>2024  Cotutor: Scuola di Dottorato in Life Sciences and Biotechnologies – Progetto Finanziato da Azienda Privata (MT srl)</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pacing w:before="0" w:after="0"/>
              <w:contextualSpacing/>
              <w:rPr/>
            </w:pPr>
            <w:r>
              <w:rPr>
                <w:rFonts w:cs="Times New Roman" w:ascii="Times New Roman" w:hAnsi="Times New Roman"/>
                <w:color w:val="000000"/>
                <w:sz w:val="24"/>
              </w:rPr>
              <w:t>2023 Cotutor: Scuola di Dottorato in Life Sciences and Biotechnologies – Progetto Finanziato da Azienda Privata (PHARECO srl)</w:t>
            </w:r>
          </w:p>
          <w:p>
            <w:pPr>
              <w:pStyle w:val="Normal"/>
              <w:spacing w:before="0" w:after="0"/>
              <w:contextualSpacing/>
              <w:rPr>
                <w:rFonts w:ascii="Times New Roman" w:hAnsi="Times New Roman" w:cs="Times New Roman"/>
                <w:color w:val="000000"/>
                <w:sz w:val="24"/>
              </w:rPr>
            </w:pPr>
            <w:r>
              <w:rPr>
                <w:rFonts w:cs="Times New Roman" w:ascii="Times New Roman" w:hAnsi="Times New Roman"/>
                <w:color w:val="000000"/>
                <w:sz w:val="24"/>
              </w:rPr>
            </w:r>
          </w:p>
          <w:p>
            <w:pPr>
              <w:pStyle w:val="Normal"/>
              <w:shd w:val="clear" w:fill="FFFFFF"/>
              <w:spacing w:before="0" w:after="0"/>
              <w:contextualSpacing/>
              <w:textAlignment w:val="baseline"/>
              <w:rPr/>
            </w:pPr>
            <w:r>
              <w:rPr>
                <w:rFonts w:cs="Times New Roman" w:ascii="Times New Roman" w:hAnsi="Times New Roman"/>
                <w:color w:val="000000"/>
                <w:sz w:val="24"/>
              </w:rPr>
              <w:t xml:space="preserve">2022 Cotutor : </w:t>
            </w:r>
            <w:r>
              <w:rPr>
                <w:rFonts w:eastAsia="Times New Roman" w:cs="Times New Roman" w:ascii="Times New Roman" w:hAnsi="Times New Roman"/>
                <w:color w:val="242424"/>
                <w:sz w:val="24"/>
                <w:lang w:eastAsia="it-IT"/>
              </w:rPr>
              <w:t>Corso di Dottorato in Scienze Biomediche - Facoltà di Scienze Biomediche</w:t>
            </w:r>
          </w:p>
          <w:p>
            <w:pPr>
              <w:pStyle w:val="Normal"/>
              <w:shd w:val="clear" w:fill="FFFFFF"/>
              <w:spacing w:before="0" w:after="0"/>
              <w:contextualSpacing/>
              <w:textAlignment w:val="baseline"/>
              <w:rPr>
                <w:rFonts w:ascii="Times New Roman" w:hAnsi="Times New Roman" w:eastAsia="Times New Roman" w:cs="Times New Roman"/>
                <w:color w:val="242424"/>
                <w:sz w:val="24"/>
                <w:lang w:eastAsia="it-IT"/>
              </w:rPr>
            </w:pPr>
            <w:r>
              <w:rPr>
                <w:rFonts w:eastAsia="Times New Roman" w:cs="Times New Roman" w:ascii="Times New Roman" w:hAnsi="Times New Roman"/>
                <w:color w:val="242424"/>
                <w:sz w:val="24"/>
                <w:lang w:eastAsia="it-IT"/>
              </w:rPr>
              <w:t>Curriculum Fisiopatologia Medica – A74  Progetto e.INS</w:t>
            </w:r>
          </w:p>
          <w:p>
            <w:pPr>
              <w:pStyle w:val="Normal"/>
              <w:spacing w:before="0" w:after="0"/>
              <w:contextualSpacing/>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r>
          </w:p>
          <w:p>
            <w:pPr>
              <w:pStyle w:val="Normal"/>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r>
          </w:p>
          <w:p>
            <w:pPr>
              <w:pStyle w:val="Normal"/>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r>
          </w:p>
          <w:p>
            <w:pPr>
              <w:pStyle w:val="Normal"/>
              <w:rPr/>
            </w:pPr>
            <w:r>
              <w:rPr>
                <w:rFonts w:eastAsia="Times New Roman" w:cs="Times New Roman" w:ascii="Times New Roman" w:hAnsi="Times New Roman"/>
                <w:color w:val="000000"/>
                <w:sz w:val="24"/>
                <w:lang w:eastAsia="it-IT"/>
              </w:rPr>
              <w:t>Dal 2023 ad oggi  DOCENTE per S-Drive Academy - Approccio clinico, Epigenetica, Nutrizione, Nutraceutica, Biofisica e Medicina Funzionale</w:t>
            </w:r>
          </w:p>
          <w:p>
            <w:pPr>
              <w:pStyle w:val="Normal"/>
              <w:rPr>
                <w:rFonts w:ascii="Times New Roman" w:hAnsi="Times New Roman" w:eastAsia="Times New Roman" w:cs="Times New Roman"/>
                <w:color w:val="000000"/>
                <w:sz w:val="24"/>
                <w:lang w:eastAsia="it-IT"/>
              </w:rPr>
            </w:pPr>
            <w:r>
              <w:rPr/>
            </w:r>
          </w:p>
          <w:p>
            <w:pPr>
              <w:pStyle w:val="Normal"/>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t>Dal 2023 ad oggi  DOCENTE per Scuola di Alta Formazione in Epigenetica, Nutrizione e Medicina Funzionale</w:t>
            </w:r>
          </w:p>
          <w:p>
            <w:pPr>
              <w:pStyle w:val="Normal"/>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r>
          </w:p>
          <w:p>
            <w:pPr>
              <w:pStyle w:val="ECVSectionDetails"/>
              <w:rPr>
                <w:rFonts w:ascii="Times New Roman" w:hAnsi="Times New Roman" w:eastAsia="Times New Roman" w:cs="Times New Roman"/>
                <w:color w:val="000000"/>
                <w:sz w:val="24"/>
                <w:lang w:eastAsia="it-IT"/>
              </w:rPr>
            </w:pPr>
            <w:r>
              <w:rPr>
                <w:rFonts w:eastAsia="Times New Roman" w:cs="Times New Roman" w:ascii="Times New Roman" w:hAnsi="Times New Roman"/>
                <w:color w:val="000000"/>
                <w:sz w:val="24"/>
                <w:lang w:eastAsia="it-IT"/>
              </w:rPr>
            </w:r>
          </w:p>
          <w:p>
            <w:pPr>
              <w:pStyle w:val="ECVSectionDetails"/>
              <w:rPr/>
            </w:pPr>
            <w:r>
              <w:rPr/>
            </w:r>
          </w:p>
          <w:p>
            <w:pPr>
              <w:pStyle w:val="ECVSectionDetails"/>
              <w:rPr/>
            </w:pPr>
            <w:r>
              <w:rPr/>
            </w:r>
          </w:p>
        </w:tc>
      </w:tr>
    </w:tbl>
    <w:p>
      <w:pPr>
        <w:pStyle w:val="ECVText"/>
        <w:rPr>
          <w:sz w:val="8"/>
          <w:szCs w:val="8"/>
        </w:rPr>
      </w:pPr>
      <w:r>
        <w:rPr>
          <w:sz w:val="8"/>
          <w:szCs w:val="8"/>
        </w:rPr>
      </w:r>
    </w:p>
    <w:p>
      <w:pPr>
        <w:pStyle w:val="ECVText"/>
        <w:rPr>
          <w:sz w:val="8"/>
          <w:szCs w:val="8"/>
        </w:rPr>
      </w:pPr>
      <w:r>
        <w:rPr>
          <w:sz w:val="8"/>
          <w:szCs w:val="8"/>
        </w:rPr>
      </w:r>
    </w:p>
    <w:tbl>
      <w:tblPr>
        <w:tblpPr w:vertAnchor="text" w:horzAnchor="margin" w:tblpXSpec="left" w:bottomFromText="170" w:topFromText="6" w:tblpY="-72"/>
        <w:tblOverlap w:val="never"/>
        <w:tblW w:w="5000" w:type="pct"/>
        <w:jc w:val="left"/>
        <w:tblInd w:w="0" w:type="dxa"/>
        <w:tblLayout w:type="fixed"/>
        <w:tblCellMar>
          <w:top w:w="0" w:type="dxa"/>
          <w:left w:w="0" w:type="dxa"/>
          <w:bottom w:w="0" w:type="dxa"/>
          <w:right w:w="0" w:type="dxa"/>
        </w:tblCellMar>
      </w:tblPr>
      <w:tblGrid>
        <w:gridCol w:w="2832"/>
        <w:gridCol w:w="1544"/>
        <w:gridCol w:w="1498"/>
        <w:gridCol w:w="1500"/>
        <w:gridCol w:w="1499"/>
        <w:gridCol w:w="1502"/>
      </w:tblGrid>
      <w:tr>
        <w:trPr>
          <w:trHeight w:val="213" w:hRule="atLeast"/>
        </w:trPr>
        <w:tc>
          <w:tcPr>
            <w:tcW w:w="2832" w:type="dxa"/>
            <w:tcBorders/>
          </w:tcPr>
          <w:p>
            <w:pPr>
              <w:pStyle w:val="ECVLeftDetails"/>
              <w:spacing w:before="23" w:after="0"/>
              <w:rPr>
                <w:b/>
              </w:rPr>
            </w:pPr>
            <w:r>
              <w:rPr>
                <w:b/>
              </w:rPr>
              <w:t>LINGUA MADRE</w:t>
            </w:r>
          </w:p>
        </w:tc>
        <w:tc>
          <w:tcPr>
            <w:tcW w:w="7543" w:type="dxa"/>
            <w:gridSpan w:val="5"/>
            <w:tcBorders/>
          </w:tcPr>
          <w:p>
            <w:pPr>
              <w:pStyle w:val="ECVSectionDetails"/>
              <w:suppressLineNumbers/>
              <w:spacing w:lineRule="atLeast" w:line="100" w:before="28" w:after="0"/>
              <w:rPr/>
            </w:pPr>
            <w:r>
              <w:rPr/>
              <w:t>ITALIANO</w:t>
            </w:r>
          </w:p>
        </w:tc>
      </w:tr>
      <w:tr>
        <w:trPr>
          <w:trHeight w:val="283" w:hRule="atLeast"/>
        </w:trPr>
        <w:tc>
          <w:tcPr>
            <w:tcW w:w="2832" w:type="dxa"/>
            <w:vMerge w:val="restart"/>
            <w:tcBorders/>
          </w:tcPr>
          <w:p>
            <w:pPr>
              <w:pStyle w:val="ECVLeftDetails"/>
              <w:spacing w:before="23" w:after="0"/>
              <w:jc w:val="left"/>
              <w:rPr>
                <w:b/>
                <w:caps/>
              </w:rPr>
            </w:pPr>
            <w:r>
              <w:rPr>
                <w:rFonts w:eastAsia="Arial" w:cs="Arial"/>
              </w:rPr>
              <w:t xml:space="preserve">                                        </w:t>
            </w:r>
            <w:r>
              <w:rPr>
                <w:rFonts w:eastAsia="Arial" w:cs="Arial"/>
                <w:b/>
              </w:rPr>
              <w:t xml:space="preserve"> </w:t>
            </w:r>
            <w:r>
              <w:rPr>
                <w:b/>
              </w:rPr>
              <w:t>INGLESE</w:t>
            </w:r>
          </w:p>
        </w:tc>
        <w:tc>
          <w:tcPr>
            <w:tcW w:w="3042" w:type="dxa"/>
            <w:gridSpan w:val="2"/>
            <w:tcBorders>
              <w:top w:val="single" w:sz="8" w:space="0" w:color="C0C0C0"/>
              <w:bottom w:val="single" w:sz="8" w:space="0" w:color="C0C0C0"/>
            </w:tcBorders>
            <w:vAlign w:val="center"/>
          </w:tcPr>
          <w:p>
            <w:pPr>
              <w:pStyle w:val="ECVLanguageHeading"/>
              <w:rPr/>
            </w:pPr>
            <w:r>
              <w:rPr/>
              <w:t>COMPRENSIONE</w:t>
            </w:r>
          </w:p>
        </w:tc>
        <w:tc>
          <w:tcPr>
            <w:tcW w:w="2999" w:type="dxa"/>
            <w:gridSpan w:val="2"/>
            <w:tcBorders>
              <w:top w:val="single" w:sz="8" w:space="0" w:color="C0C0C0"/>
              <w:left w:val="single" w:sz="8" w:space="0" w:color="C0C0C0"/>
              <w:bottom w:val="single" w:sz="8" w:space="0" w:color="C0C0C0"/>
            </w:tcBorders>
            <w:vAlign w:val="center"/>
          </w:tcPr>
          <w:p>
            <w:pPr>
              <w:pStyle w:val="ECVLanguageHeading"/>
              <w:rPr/>
            </w:pPr>
            <w:r>
              <w:rPr/>
              <w:t>PARLATO</w:t>
            </w:r>
          </w:p>
        </w:tc>
        <w:tc>
          <w:tcPr>
            <w:tcW w:w="1502" w:type="dxa"/>
            <w:tcBorders>
              <w:top w:val="single" w:sz="8" w:space="0" w:color="C0C0C0"/>
              <w:left w:val="single" w:sz="8" w:space="0" w:color="C0C0C0"/>
              <w:bottom w:val="single" w:sz="8" w:space="0" w:color="C0C0C0"/>
            </w:tcBorders>
            <w:vAlign w:val="center"/>
          </w:tcPr>
          <w:p>
            <w:pPr>
              <w:pStyle w:val="ECVLanguageHeading"/>
              <w:rPr/>
            </w:pPr>
            <w:r>
              <w:rPr/>
              <w:t>PRODUZIONE SCRITTA</w:t>
            </w:r>
          </w:p>
        </w:tc>
      </w:tr>
      <w:tr>
        <w:trPr>
          <w:trHeight w:val="283" w:hRule="atLeast"/>
        </w:trPr>
        <w:tc>
          <w:tcPr>
            <w:tcW w:w="2832" w:type="dxa"/>
            <w:vMerge w:val="continue"/>
            <w:tcBorders/>
          </w:tcPr>
          <w:p>
            <w:pPr>
              <w:pStyle w:val="Normal"/>
              <w:snapToGrid w:val="false"/>
              <w:rPr/>
            </w:pPr>
            <w:r>
              <w:rPr/>
            </w:r>
          </w:p>
        </w:tc>
        <w:tc>
          <w:tcPr>
            <w:tcW w:w="1544" w:type="dxa"/>
            <w:tcBorders>
              <w:bottom w:val="single" w:sz="8" w:space="0" w:color="C0C0C0"/>
            </w:tcBorders>
            <w:vAlign w:val="center"/>
          </w:tcPr>
          <w:p>
            <w:pPr>
              <w:pStyle w:val="ECVLanguageSubHeading"/>
              <w:jc w:val="left"/>
              <w:rPr/>
            </w:pPr>
            <w:r>
              <w:rPr/>
              <w:t>Ascolto</w:t>
            </w:r>
          </w:p>
        </w:tc>
        <w:tc>
          <w:tcPr>
            <w:tcW w:w="1498" w:type="dxa"/>
            <w:tcBorders>
              <w:left w:val="single" w:sz="8" w:space="0" w:color="C0C0C0"/>
              <w:bottom w:val="single" w:sz="8" w:space="0" w:color="C0C0C0"/>
            </w:tcBorders>
            <w:vAlign w:val="center"/>
          </w:tcPr>
          <w:p>
            <w:pPr>
              <w:pStyle w:val="ECVLanguageSubHeading"/>
              <w:rPr/>
            </w:pPr>
            <w:r>
              <w:rPr/>
              <w:t>Lettura</w:t>
            </w:r>
          </w:p>
        </w:tc>
        <w:tc>
          <w:tcPr>
            <w:tcW w:w="1500" w:type="dxa"/>
            <w:tcBorders>
              <w:left w:val="single" w:sz="8" w:space="0" w:color="C0C0C0"/>
              <w:bottom w:val="single" w:sz="8" w:space="0" w:color="C0C0C0"/>
            </w:tcBorders>
            <w:vAlign w:val="center"/>
          </w:tcPr>
          <w:p>
            <w:pPr>
              <w:pStyle w:val="ECVLanguageSubHeading"/>
              <w:rPr/>
            </w:pPr>
            <w:r>
              <w:rPr/>
              <w:t>Interazione</w:t>
            </w:r>
          </w:p>
        </w:tc>
        <w:tc>
          <w:tcPr>
            <w:tcW w:w="1499" w:type="dxa"/>
            <w:tcBorders>
              <w:left w:val="single" w:sz="8" w:space="0" w:color="C0C0C0"/>
              <w:bottom w:val="single" w:sz="8" w:space="0" w:color="C0C0C0"/>
            </w:tcBorders>
            <w:vAlign w:val="center"/>
          </w:tcPr>
          <w:p>
            <w:pPr>
              <w:pStyle w:val="ECVLanguageSubHeading"/>
              <w:rPr/>
            </w:pPr>
            <w:r>
              <w:rPr/>
              <w:t>Produzione orale</w:t>
            </w:r>
          </w:p>
        </w:tc>
        <w:tc>
          <w:tcPr>
            <w:tcW w:w="1502" w:type="dxa"/>
            <w:tcBorders>
              <w:left w:val="single" w:sz="8" w:space="0" w:color="C0C0C0"/>
              <w:bottom w:val="single" w:sz="8" w:space="0" w:color="C0C0C0"/>
            </w:tcBorders>
            <w:vAlign w:val="center"/>
          </w:tcPr>
          <w:p>
            <w:pPr>
              <w:pStyle w:val="ECVRightColumn"/>
              <w:snapToGrid w:val="false"/>
              <w:spacing w:before="62" w:after="0"/>
              <w:rPr/>
            </w:pPr>
            <w:r>
              <w:rPr/>
            </w:r>
          </w:p>
        </w:tc>
      </w:tr>
      <w:tr>
        <w:trPr>
          <w:trHeight w:val="236" w:hRule="atLeast"/>
        </w:trPr>
        <w:tc>
          <w:tcPr>
            <w:tcW w:w="2832" w:type="dxa"/>
            <w:tcBorders/>
            <w:vAlign w:val="center"/>
          </w:tcPr>
          <w:p>
            <w:pPr>
              <w:pStyle w:val="ECVLanguageName"/>
              <w:snapToGrid w:val="false"/>
              <w:rPr/>
            </w:pPr>
            <w:r>
              <w:rPr/>
            </w:r>
          </w:p>
        </w:tc>
        <w:tc>
          <w:tcPr>
            <w:tcW w:w="1544" w:type="dxa"/>
            <w:tcBorders>
              <w:bottom w:val="single" w:sz="4" w:space="0" w:color="C0C0C0"/>
            </w:tcBorders>
            <w:vAlign w:val="center"/>
          </w:tcPr>
          <w:p>
            <w:pPr>
              <w:pStyle w:val="ECVLanguageLevel"/>
              <w:spacing w:before="28" w:after="0"/>
              <w:rPr>
                <w:caps w:val="false"/>
                <w:smallCaps w:val="false"/>
              </w:rPr>
            </w:pPr>
            <w:r>
              <w:rPr>
                <w:caps w:val="false"/>
                <w:smallCaps w:val="false"/>
              </w:rPr>
              <w:t>B1/B2</w:t>
            </w:r>
          </w:p>
        </w:tc>
        <w:tc>
          <w:tcPr>
            <w:tcW w:w="1498" w:type="dxa"/>
            <w:tcBorders>
              <w:bottom w:val="single" w:sz="4" w:space="0" w:color="C0C0C0"/>
            </w:tcBorders>
            <w:vAlign w:val="center"/>
          </w:tcPr>
          <w:p>
            <w:pPr>
              <w:pStyle w:val="ECVLanguageLevel"/>
              <w:spacing w:before="28" w:after="0"/>
              <w:rPr>
                <w:caps w:val="false"/>
                <w:smallCaps w:val="false"/>
              </w:rPr>
            </w:pPr>
            <w:r>
              <w:rPr>
                <w:caps w:val="false"/>
                <w:smallCaps w:val="false"/>
              </w:rPr>
              <w:t>B1/B2</w:t>
            </w:r>
          </w:p>
        </w:tc>
        <w:tc>
          <w:tcPr>
            <w:tcW w:w="1500" w:type="dxa"/>
            <w:tcBorders>
              <w:bottom w:val="single" w:sz="4" w:space="0" w:color="C0C0C0"/>
            </w:tcBorders>
            <w:vAlign w:val="center"/>
          </w:tcPr>
          <w:p>
            <w:pPr>
              <w:pStyle w:val="ECVLanguageLevel"/>
              <w:spacing w:before="28" w:after="0"/>
              <w:rPr>
                <w:caps w:val="false"/>
                <w:smallCaps w:val="false"/>
              </w:rPr>
            </w:pPr>
            <w:r>
              <w:rPr>
                <w:caps w:val="false"/>
                <w:smallCaps w:val="false"/>
              </w:rPr>
              <w:t>B1/B2</w:t>
            </w:r>
          </w:p>
        </w:tc>
        <w:tc>
          <w:tcPr>
            <w:tcW w:w="1499" w:type="dxa"/>
            <w:tcBorders>
              <w:bottom w:val="single" w:sz="4" w:space="0" w:color="C0C0C0"/>
            </w:tcBorders>
            <w:vAlign w:val="center"/>
          </w:tcPr>
          <w:p>
            <w:pPr>
              <w:pStyle w:val="ECVLanguageLevel"/>
              <w:spacing w:before="28" w:after="0"/>
              <w:rPr>
                <w:caps w:val="false"/>
                <w:smallCaps w:val="false"/>
              </w:rPr>
            </w:pPr>
            <w:r>
              <w:rPr>
                <w:caps w:val="false"/>
                <w:smallCaps w:val="false"/>
              </w:rPr>
              <w:t>B1/B2</w:t>
            </w:r>
          </w:p>
        </w:tc>
        <w:tc>
          <w:tcPr>
            <w:tcW w:w="1502" w:type="dxa"/>
            <w:tcBorders>
              <w:bottom w:val="single" w:sz="4" w:space="0" w:color="C0C0C0"/>
            </w:tcBorders>
            <w:vAlign w:val="center"/>
          </w:tcPr>
          <w:p>
            <w:pPr>
              <w:pStyle w:val="ECVLanguageLevel"/>
              <w:spacing w:before="28" w:after="0"/>
              <w:rPr>
                <w:caps w:val="false"/>
                <w:smallCaps w:val="false"/>
              </w:rPr>
            </w:pPr>
            <w:r>
              <w:rPr>
                <w:caps w:val="false"/>
                <w:smallCaps w:val="false"/>
              </w:rPr>
              <w:t>B1/B2</w:t>
            </w:r>
          </w:p>
        </w:tc>
      </w:tr>
    </w:tbl>
    <w:p>
      <w:pPr>
        <w:pStyle w:val="ECVText"/>
        <w:rPr/>
      </w:pPr>
      <w:r>
        <w:rPr/>
      </w:r>
    </w:p>
    <w:tbl>
      <w:tblPr>
        <w:tblpPr w:vertAnchor="text" w:horzAnchor="margin" w:bottomFromText="170" w:topFromText="6" w:tblpX="0" w:tblpY="83"/>
        <w:tblW w:w="10376" w:type="dxa"/>
        <w:jc w:val="left"/>
        <w:tblInd w:w="227" w:type="dxa"/>
        <w:tblLayout w:type="fixed"/>
        <w:tblCellMar>
          <w:top w:w="0" w:type="dxa"/>
          <w:left w:w="227" w:type="dxa"/>
          <w:bottom w:w="0" w:type="dxa"/>
          <w:right w:w="227" w:type="dxa"/>
        </w:tblCellMar>
      </w:tblPr>
      <w:tblGrid>
        <w:gridCol w:w="2833"/>
        <w:gridCol w:w="1544"/>
        <w:gridCol w:w="1498"/>
        <w:gridCol w:w="1500"/>
        <w:gridCol w:w="1499"/>
        <w:gridCol w:w="1501"/>
      </w:tblGrid>
      <w:tr>
        <w:trPr>
          <w:trHeight w:val="465" w:hRule="atLeast"/>
        </w:trPr>
        <w:tc>
          <w:tcPr>
            <w:tcW w:w="2833" w:type="dxa"/>
            <w:tcBorders/>
          </w:tcPr>
          <w:p>
            <w:pPr>
              <w:pStyle w:val="Normal"/>
              <w:snapToGrid w:val="false"/>
              <w:rPr>
                <w:color w:val="002060"/>
              </w:rPr>
            </w:pPr>
            <w:r>
              <w:rPr>
                <w:color w:val="002060"/>
              </w:rPr>
            </w:r>
          </w:p>
          <w:p>
            <w:pPr>
              <w:pStyle w:val="Normal"/>
              <w:rPr/>
            </w:pPr>
            <w:r>
              <w:rPr>
                <w:rFonts w:eastAsia="Arial" w:cs="Arial"/>
                <w:color w:val="002060"/>
              </w:rPr>
              <w:t xml:space="preserve">               </w:t>
            </w:r>
            <w:r>
              <w:rPr>
                <w:b/>
                <w:color w:val="002060"/>
              </w:rPr>
              <w:t>COMPETENZE DIGITALI</w:t>
            </w:r>
          </w:p>
        </w:tc>
        <w:tc>
          <w:tcPr>
            <w:tcW w:w="1544" w:type="dxa"/>
            <w:tcBorders>
              <w:bottom w:val="single" w:sz="8" w:space="0" w:color="C0C0C0"/>
            </w:tcBorders>
            <w:vAlign w:val="center"/>
          </w:tcPr>
          <w:p>
            <w:pPr>
              <w:pStyle w:val="ECVLanguageSubHeading"/>
              <w:rPr/>
            </w:pPr>
            <w:r>
              <w:rPr/>
              <w:t>Elaborazione delle informazioni</w:t>
            </w:r>
          </w:p>
        </w:tc>
        <w:tc>
          <w:tcPr>
            <w:tcW w:w="1498" w:type="dxa"/>
            <w:tcBorders>
              <w:left w:val="single" w:sz="8" w:space="0" w:color="C0C0C0"/>
              <w:bottom w:val="single" w:sz="8" w:space="0" w:color="C0C0C0"/>
            </w:tcBorders>
            <w:vAlign w:val="center"/>
          </w:tcPr>
          <w:p>
            <w:pPr>
              <w:pStyle w:val="ECVLanguageSubHeading"/>
              <w:rPr/>
            </w:pPr>
            <w:r>
              <w:rPr/>
              <w:t>Comunicazione</w:t>
            </w:r>
          </w:p>
        </w:tc>
        <w:tc>
          <w:tcPr>
            <w:tcW w:w="1500" w:type="dxa"/>
            <w:tcBorders>
              <w:left w:val="single" w:sz="8" w:space="0" w:color="C0C0C0"/>
              <w:bottom w:val="single" w:sz="8" w:space="0" w:color="C0C0C0"/>
            </w:tcBorders>
            <w:vAlign w:val="center"/>
          </w:tcPr>
          <w:p>
            <w:pPr>
              <w:pStyle w:val="ECVLanguageSubHeading"/>
              <w:rPr/>
            </w:pPr>
            <w:r>
              <w:rPr/>
              <w:t>Creazione di Contenuti</w:t>
            </w:r>
          </w:p>
        </w:tc>
        <w:tc>
          <w:tcPr>
            <w:tcW w:w="1499" w:type="dxa"/>
            <w:tcBorders>
              <w:left w:val="single" w:sz="8" w:space="0" w:color="C0C0C0"/>
              <w:bottom w:val="single" w:sz="8" w:space="0" w:color="C0C0C0"/>
            </w:tcBorders>
            <w:vAlign w:val="center"/>
          </w:tcPr>
          <w:p>
            <w:pPr>
              <w:pStyle w:val="ECVLanguageSubHeading"/>
              <w:rPr/>
            </w:pPr>
            <w:r>
              <w:rPr/>
              <w:t>Sicurezza</w:t>
            </w:r>
          </w:p>
        </w:tc>
        <w:tc>
          <w:tcPr>
            <w:tcW w:w="1501" w:type="dxa"/>
            <w:tcBorders>
              <w:left w:val="single" w:sz="8" w:space="0" w:color="C0C0C0"/>
              <w:bottom w:val="single" w:sz="8" w:space="0" w:color="C0C0C0"/>
            </w:tcBorders>
            <w:vAlign w:val="center"/>
          </w:tcPr>
          <w:p>
            <w:pPr>
              <w:pStyle w:val="ECVLanguageSubHeading"/>
              <w:rPr/>
            </w:pPr>
            <w:r>
              <w:rPr/>
              <w:t>Risoluzione di problemi</w:t>
            </w:r>
          </w:p>
        </w:tc>
      </w:tr>
      <w:tr>
        <w:trPr>
          <w:trHeight w:val="283" w:hRule="atLeast"/>
        </w:trPr>
        <w:tc>
          <w:tcPr>
            <w:tcW w:w="2833" w:type="dxa"/>
            <w:tcBorders/>
            <w:tcMar>
              <w:top w:w="113" w:type="dxa"/>
              <w:left w:w="0" w:type="dxa"/>
              <w:bottom w:w="113" w:type="dxa"/>
              <w:right w:w="0" w:type="dxa"/>
            </w:tcMar>
            <w:vAlign w:val="center"/>
          </w:tcPr>
          <w:p>
            <w:pPr>
              <w:pStyle w:val="Normal"/>
              <w:snapToGrid w:val="false"/>
              <w:rPr/>
            </w:pPr>
            <w:r>
              <w:rPr/>
            </w:r>
          </w:p>
        </w:tc>
        <w:tc>
          <w:tcPr>
            <w:tcW w:w="1544" w:type="dxa"/>
            <w:tcBorders>
              <w:bottom w:val="single" w:sz="4" w:space="0" w:color="C0C0C0"/>
            </w:tcBorders>
            <w:tcMar>
              <w:top w:w="113" w:type="dxa"/>
              <w:left w:w="0" w:type="dxa"/>
              <w:bottom w:w="113" w:type="dxa"/>
              <w:right w:w="0" w:type="dxa"/>
            </w:tcMar>
            <w:vAlign w:val="center"/>
          </w:tcPr>
          <w:p>
            <w:pPr>
              <w:pStyle w:val="ECVLanguageLevel"/>
              <w:spacing w:before="28" w:after="0"/>
              <w:rPr>
                <w:caps w:val="false"/>
                <w:smallCaps w:val="false"/>
              </w:rPr>
            </w:pPr>
            <w:r>
              <w:rPr>
                <w:color w:val="000080"/>
              </w:rPr>
              <w:t>Utente avanzato</w:t>
            </w:r>
          </w:p>
        </w:tc>
        <w:tc>
          <w:tcPr>
            <w:tcW w:w="1498" w:type="dxa"/>
            <w:tcBorders>
              <w:left w:val="single" w:sz="8" w:space="0" w:color="C0C0C0"/>
              <w:bottom w:val="single" w:sz="4" w:space="0" w:color="C0C0C0"/>
            </w:tcBorders>
            <w:tcMar>
              <w:top w:w="113" w:type="dxa"/>
              <w:left w:w="0" w:type="dxa"/>
              <w:bottom w:w="113" w:type="dxa"/>
              <w:right w:w="0" w:type="dxa"/>
            </w:tcMar>
            <w:vAlign w:val="center"/>
          </w:tcPr>
          <w:p>
            <w:pPr>
              <w:pStyle w:val="ECVLanguageLevel"/>
              <w:spacing w:before="28" w:after="0"/>
              <w:rPr>
                <w:caps w:val="false"/>
                <w:smallCaps w:val="false"/>
              </w:rPr>
            </w:pPr>
            <w:r>
              <w:rPr>
                <w:color w:val="000080"/>
              </w:rPr>
              <w:t>Utente avanzato</w:t>
            </w:r>
          </w:p>
        </w:tc>
        <w:tc>
          <w:tcPr>
            <w:tcW w:w="1500" w:type="dxa"/>
            <w:tcBorders>
              <w:left w:val="single" w:sz="8" w:space="0" w:color="C0C0C0"/>
              <w:bottom w:val="single" w:sz="4" w:space="0" w:color="C0C0C0"/>
            </w:tcBorders>
            <w:tcMar>
              <w:top w:w="113" w:type="dxa"/>
              <w:left w:w="0" w:type="dxa"/>
              <w:bottom w:w="113" w:type="dxa"/>
              <w:right w:w="0" w:type="dxa"/>
            </w:tcMar>
            <w:vAlign w:val="center"/>
          </w:tcPr>
          <w:p>
            <w:pPr>
              <w:pStyle w:val="ECVLanguageLevel"/>
              <w:spacing w:before="28" w:after="0"/>
              <w:rPr>
                <w:caps w:val="false"/>
                <w:smallCaps w:val="false"/>
              </w:rPr>
            </w:pPr>
            <w:r>
              <w:rPr>
                <w:color w:val="000080"/>
              </w:rPr>
              <w:t>Utente intermedio</w:t>
            </w:r>
          </w:p>
        </w:tc>
        <w:tc>
          <w:tcPr>
            <w:tcW w:w="1499" w:type="dxa"/>
            <w:tcBorders>
              <w:left w:val="single" w:sz="8" w:space="0" w:color="C0C0C0"/>
              <w:bottom w:val="single" w:sz="4" w:space="0" w:color="C0C0C0"/>
            </w:tcBorders>
            <w:tcMar>
              <w:top w:w="113" w:type="dxa"/>
              <w:left w:w="0" w:type="dxa"/>
              <w:bottom w:w="113" w:type="dxa"/>
              <w:right w:w="0" w:type="dxa"/>
            </w:tcMar>
            <w:vAlign w:val="center"/>
          </w:tcPr>
          <w:p>
            <w:pPr>
              <w:pStyle w:val="ECVLanguageLevel"/>
              <w:spacing w:before="28" w:after="0"/>
              <w:rPr>
                <w:caps w:val="false"/>
                <w:smallCaps w:val="false"/>
              </w:rPr>
            </w:pPr>
            <w:r>
              <w:rPr>
                <w:color w:val="000080"/>
              </w:rPr>
              <w:t>Utente base</w:t>
            </w:r>
          </w:p>
        </w:tc>
        <w:tc>
          <w:tcPr>
            <w:tcW w:w="1501" w:type="dxa"/>
            <w:tcBorders>
              <w:left w:val="single" w:sz="8" w:space="0" w:color="C0C0C0"/>
              <w:bottom w:val="single" w:sz="4" w:space="0" w:color="C0C0C0"/>
            </w:tcBorders>
            <w:tcMar>
              <w:top w:w="113" w:type="dxa"/>
              <w:left w:w="0" w:type="dxa"/>
              <w:bottom w:w="113" w:type="dxa"/>
              <w:right w:w="0" w:type="dxa"/>
            </w:tcMar>
            <w:vAlign w:val="center"/>
          </w:tcPr>
          <w:p>
            <w:pPr>
              <w:pStyle w:val="ECVLanguageLevel"/>
              <w:spacing w:before="28" w:after="0"/>
              <w:rPr>
                <w:color w:val="000080"/>
              </w:rPr>
            </w:pPr>
            <w:r>
              <w:rPr>
                <w:color w:val="000080"/>
              </w:rPr>
              <w:t>Utente intermedio</w:t>
            </w:r>
          </w:p>
        </w:tc>
      </w:tr>
      <w:tr>
        <w:trPr>
          <w:trHeight w:val="397" w:hRule="atLeast"/>
        </w:trPr>
        <w:tc>
          <w:tcPr>
            <w:tcW w:w="2833" w:type="dxa"/>
            <w:tcBorders/>
            <w:tcMar>
              <w:left w:w="0" w:type="dxa"/>
              <w:bottom w:w="113" w:type="dxa"/>
              <w:right w:w="0" w:type="dxa"/>
            </w:tcMar>
          </w:tcPr>
          <w:p>
            <w:pPr>
              <w:pStyle w:val="Normal"/>
              <w:snapToGrid w:val="false"/>
              <w:rPr/>
            </w:pPr>
            <w:r>
              <w:rPr/>
            </w:r>
          </w:p>
        </w:tc>
        <w:tc>
          <w:tcPr>
            <w:tcW w:w="7542" w:type="dxa"/>
            <w:gridSpan w:val="5"/>
            <w:tcBorders/>
            <w:tcMar>
              <w:left w:w="0" w:type="dxa"/>
              <w:bottom w:w="113" w:type="dxa"/>
              <w:right w:w="0" w:type="dxa"/>
            </w:tcMar>
            <w:vAlign w:val="center"/>
          </w:tcPr>
          <w:p>
            <w:pPr>
              <w:pStyle w:val="ECVLanguageExplanation"/>
              <w:rPr>
                <w:rFonts w:eastAsia="Arial" w:cs="Arial"/>
              </w:rPr>
            </w:pPr>
            <w:r>
              <w:rPr/>
            </w:r>
          </w:p>
        </w:tc>
      </w:tr>
    </w:tbl>
    <w:p>
      <w:pPr>
        <w:pStyle w:val="ECVText"/>
        <w:rPr>
          <w:sz w:val="8"/>
          <w:szCs w:val="8"/>
        </w:rPr>
      </w:pPr>
      <w:r>
        <w:rPr>
          <w:sz w:val="8"/>
          <w:szCs w:val="8"/>
        </w:rPr>
      </w:r>
    </w:p>
    <w:tbl>
      <w:tblPr>
        <w:tblpPr w:vertAnchor="text" w:horzAnchor="margin" w:tblpXSpec="left" w:bottomFromText="170" w:topFromText="6" w:tblpY="171"/>
        <w:tblOverlap w:val="never"/>
        <w:tblW w:w="5000" w:type="pct"/>
        <w:jc w:val="left"/>
        <w:tblInd w:w="0" w:type="dxa"/>
        <w:tblLayout w:type="fixed"/>
        <w:tblCellMar>
          <w:top w:w="0" w:type="dxa"/>
          <w:left w:w="0" w:type="dxa"/>
          <w:bottom w:w="0" w:type="dxa"/>
          <w:right w:w="0" w:type="dxa"/>
        </w:tblCellMar>
      </w:tblPr>
      <w:tblGrid>
        <w:gridCol w:w="2833"/>
        <w:gridCol w:w="7542"/>
      </w:tblGrid>
      <w:tr>
        <w:trPr>
          <w:trHeight w:val="170" w:hRule="atLeast"/>
        </w:trPr>
        <w:tc>
          <w:tcPr>
            <w:tcW w:w="2833" w:type="dxa"/>
            <w:tcBorders/>
          </w:tcPr>
          <w:p>
            <w:pPr>
              <w:pStyle w:val="ECVLeftDetails"/>
              <w:spacing w:before="23" w:after="0"/>
              <w:rPr>
                <w:b/>
              </w:rPr>
            </w:pPr>
            <w:r>
              <w:rPr>
                <w:b/>
              </w:rPr>
              <w:t>PUBBLICAZIONI</w:t>
            </w:r>
          </w:p>
          <w:p>
            <w:pPr>
              <w:pStyle w:val="ECVLeftDetails"/>
              <w:rPr>
                <w:b/>
              </w:rPr>
            </w:pPr>
            <w:r>
              <w:rPr>
                <w:b/>
              </w:rPr>
            </w:r>
          </w:p>
        </w:tc>
        <w:tc>
          <w:tcPr>
            <w:tcW w:w="7542" w:type="dxa"/>
            <w:tcBorders/>
          </w:tcPr>
          <w:p>
            <w:pPr>
              <w:pStyle w:val="Normal"/>
              <w:shd w:val="clear" w:fill="FFFFFF"/>
              <w:textAlignment w:val="baseline"/>
              <w:rPr>
                <w:rStyle w:val="Xgmaildefault"/>
                <w:rFonts w:ascii="Times New Roman" w:hAnsi="Times New Roman" w:cs="Times New Roman"/>
                <w:color w:val="000000"/>
                <w:sz w:val="20"/>
                <w:szCs w:val="20"/>
              </w:rPr>
            </w:pPr>
            <w:r>
              <w:rPr/>
            </w:r>
          </w:p>
          <w:p>
            <w:pPr>
              <w:pStyle w:val="Normal"/>
              <w:shd w:val="clear" w:fill="FFFFFF"/>
              <w:textAlignment w:val="baseline"/>
              <w:rPr>
                <w:rFonts w:ascii="Times New Roman" w:hAnsi="Times New Roman" w:cs="Times New Roman"/>
                <w:color w:val="000000"/>
                <w:sz w:val="20"/>
                <w:szCs w:val="20"/>
              </w:rPr>
            </w:pPr>
            <w:r>
              <w:rPr>
                <w:rFonts w:cs="Times New Roman" w:ascii="Times New Roman" w:hAnsi="Times New Roman"/>
                <w:color w:val="000000"/>
                <w:sz w:val="20"/>
                <w:szCs w:val="20"/>
              </w:rPr>
              <w:t xml:space="preserve">Posadino A.M., Maccioccu P. Giordo R., Spissu Y, Ali H. Eid, Barberis A., </w:t>
            </w:r>
            <w:r>
              <w:rPr>
                <w:rFonts w:cs="Times New Roman" w:ascii="Times New Roman" w:hAnsi="Times New Roman"/>
                <w:b/>
                <w:color w:val="000000"/>
                <w:sz w:val="20"/>
                <w:szCs w:val="20"/>
              </w:rPr>
              <w:t>Pintus G., </w:t>
            </w:r>
            <w:r>
              <w:rPr>
                <w:rFonts w:cs="Times New Roman" w:ascii="Times New Roman" w:hAnsi="Times New Roman"/>
                <w:b/>
                <w:bCs/>
                <w:color w:val="000000"/>
                <w:sz w:val="20"/>
                <w:szCs w:val="20"/>
              </w:rPr>
              <w:t>Fenu Pintori</w:t>
            </w:r>
            <w:r>
              <w:rPr>
                <w:rFonts w:cs="Times New Roman" w:ascii="Times New Roman" w:hAnsi="Times New Roman"/>
                <w:bCs/>
                <w:color w:val="000000"/>
                <w:sz w:val="20"/>
                <w:szCs w:val="20"/>
              </w:rPr>
              <w:t xml:space="preserve"> </w:t>
            </w:r>
            <w:r>
              <w:rPr>
                <w:rFonts w:cs="Times New Roman" w:ascii="Times New Roman" w:hAnsi="Times New Roman"/>
                <w:b/>
                <w:bCs/>
                <w:color w:val="000000"/>
                <w:sz w:val="20"/>
                <w:szCs w:val="20"/>
              </w:rPr>
              <w:t>G</w:t>
            </w:r>
            <w:r>
              <w:rPr>
                <w:rFonts w:cs="Times New Roman" w:ascii="Times New Roman" w:hAnsi="Times New Roman"/>
                <w:bCs/>
                <w:color w:val="000000"/>
                <w:sz w:val="20"/>
                <w:szCs w:val="20"/>
              </w:rPr>
              <w:t>.</w:t>
            </w:r>
            <w:r>
              <w:rPr>
                <w:rFonts w:cs="Times New Roman" w:ascii="Times New Roman" w:hAnsi="Times New Roman"/>
                <w:color w:val="000000"/>
                <w:sz w:val="20"/>
                <w:szCs w:val="20"/>
              </w:rPr>
              <w:t> Exploring the Medicinal Potential of Citrus limon var. pompia Camarda var. nova: From Phytochemicals to Therapeutic Applications. Food Bioscience 2025.</w:t>
            </w:r>
          </w:p>
          <w:p>
            <w:pPr>
              <w:pStyle w:val="Normal"/>
              <w:shd w:val="clear" w:fill="FFFFFF"/>
              <w:textAlignment w:val="baseline"/>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rPr/>
            </w:pPr>
            <w:r>
              <w:rPr>
                <w:rFonts w:cs="Times New Roman" w:ascii="Times New Roman" w:hAnsi="Times New Roman"/>
                <w:color w:val="000000"/>
                <w:sz w:val="18"/>
                <w:szCs w:val="20"/>
                <w:shd w:fill="FFFFFF" w:val="clear"/>
              </w:rPr>
              <w:t xml:space="preserve">METABOLIC   DETERMINANTS   IN   FIBROMY-ALGIA  SYNDROME  STUDIED  WITH  THE  EPI-GENETIC METHOD </w:t>
            </w:r>
            <w:r>
              <w:rPr>
                <w:rFonts w:cs="Times New Roman" w:ascii="Times New Roman" w:hAnsi="Times New Roman"/>
                <w:color w:val="000000"/>
                <w:sz w:val="20"/>
                <w:szCs w:val="20"/>
                <w:shd w:fill="FFFFFF" w:val="clear"/>
              </w:rPr>
              <w:t>- B. Pische</w:t>
            </w:r>
            <w:r>
              <w:rPr>
                <w:rFonts w:cs="Times New Roman" w:ascii="Times New Roman" w:hAnsi="Times New Roman"/>
                <w:color w:val="000000"/>
                <w:sz w:val="20"/>
                <w:szCs w:val="20"/>
                <w:shd w:fill="FFFFFF" w:val="clear"/>
                <w:vertAlign w:val="superscript"/>
              </w:rPr>
              <w:t>1,2</w:t>
            </w:r>
            <w:r>
              <w:rPr>
                <w:rFonts w:cs="Times New Roman" w:ascii="Times New Roman" w:hAnsi="Times New Roman"/>
                <w:color w:val="000000"/>
                <w:sz w:val="20"/>
                <w:szCs w:val="20"/>
                <w:shd w:fill="FFFFFF" w:val="clear"/>
              </w:rPr>
              <w:t>, A. Scognamillo</w:t>
            </w:r>
            <w:r>
              <w:rPr>
                <w:rFonts w:cs="Times New Roman" w:ascii="Times New Roman" w:hAnsi="Times New Roman"/>
                <w:color w:val="000000"/>
                <w:sz w:val="20"/>
                <w:szCs w:val="20"/>
                <w:shd w:fill="FFFFFF" w:val="clear"/>
                <w:vertAlign w:val="superscript"/>
              </w:rPr>
              <w:t>2</w:t>
            </w:r>
            <w:r>
              <w:rPr>
                <w:rFonts w:cs="Times New Roman" w:ascii="Times New Roman" w:hAnsi="Times New Roman"/>
                <w:color w:val="000000"/>
                <w:sz w:val="20"/>
                <w:szCs w:val="20"/>
                <w:shd w:fill="FFFFFF" w:val="clear"/>
              </w:rPr>
              <w:t>, G. Terziani</w:t>
            </w:r>
            <w:r>
              <w:rPr>
                <w:rFonts w:cs="Times New Roman" w:ascii="Times New Roman" w:hAnsi="Times New Roman"/>
                <w:color w:val="000000"/>
                <w:sz w:val="20"/>
                <w:szCs w:val="20"/>
                <w:shd w:fill="FFFFFF" w:val="clear"/>
                <w:vertAlign w:val="superscript"/>
              </w:rPr>
              <w:t>3</w:t>
            </w:r>
            <w:r>
              <w:rPr>
                <w:rFonts w:cs="Times New Roman" w:ascii="Times New Roman" w:hAnsi="Times New Roman"/>
                <w:color w:val="000000"/>
                <w:sz w:val="20"/>
                <w:szCs w:val="20"/>
                <w:shd w:fill="FFFFFF" w:val="clear"/>
              </w:rPr>
              <w:t xml:space="preserve">, </w:t>
            </w:r>
            <w:r>
              <w:rPr>
                <w:rFonts w:cs="Times New Roman" w:ascii="Times New Roman" w:hAnsi="Times New Roman"/>
                <w:b/>
                <w:color w:val="000000"/>
                <w:sz w:val="20"/>
                <w:szCs w:val="20"/>
                <w:shd w:fill="FFFFFF" w:val="clear"/>
              </w:rPr>
              <w:t>G. Fenu Pintori</w:t>
            </w:r>
            <w:r>
              <w:rPr>
                <w:rFonts w:cs="Times New Roman" w:ascii="Times New Roman" w:hAnsi="Times New Roman"/>
                <w:b/>
                <w:color w:val="000000"/>
                <w:sz w:val="20"/>
                <w:szCs w:val="20"/>
                <w:shd w:fill="FFFFFF" w:val="clear"/>
                <w:vertAlign w:val="superscript"/>
              </w:rPr>
              <w:t>2</w:t>
            </w:r>
          </w:p>
          <w:p>
            <w:pPr>
              <w:pStyle w:val="Normal"/>
              <w:rPr>
                <w:rFonts w:ascii="Times New Roman" w:hAnsi="Times New Roman" w:cs="Times New Roman"/>
                <w:color w:val="000000"/>
                <w:sz w:val="20"/>
                <w:szCs w:val="20"/>
                <w:shd w:fill="FFFFFF" w:val="clear"/>
              </w:rPr>
            </w:pPr>
            <w:r>
              <w:rPr>
                <w:rFonts w:cs="Times New Roman" w:ascii="Times New Roman" w:hAnsi="Times New Roman"/>
                <w:color w:val="000000"/>
                <w:sz w:val="20"/>
                <w:szCs w:val="20"/>
                <w:shd w:fill="FFFFFF" w:val="clear"/>
              </w:rPr>
              <w:t xml:space="preserve">Project e.INS – </w:t>
            </w:r>
            <w:r>
              <w:rPr>
                <w:rFonts w:cs="Times New Roman" w:ascii="Times New Roman" w:hAnsi="Times New Roman"/>
                <w:color w:val="000000"/>
                <w:sz w:val="20"/>
                <w:szCs w:val="20"/>
                <w:shd w:fill="FFFFFF" w:val="clear"/>
                <w:vertAlign w:val="superscript"/>
              </w:rPr>
              <w:t>1</w:t>
            </w:r>
            <w:r>
              <w:rPr>
                <w:rFonts w:cs="Times New Roman" w:ascii="Times New Roman" w:hAnsi="Times New Roman"/>
                <w:color w:val="000000"/>
                <w:sz w:val="20"/>
                <w:szCs w:val="20"/>
                <w:shd w:fill="FFFFFF" w:val="clear"/>
              </w:rPr>
              <w:t xml:space="preserve">Ecosystem Of Innovation  For Next Generation Sardinia, PhD School, University of Sassari, Sassari, Italy  </w:t>
            </w:r>
            <w:r>
              <w:rPr>
                <w:rFonts w:cs="Times New Roman" w:ascii="Times New Roman" w:hAnsi="Times New Roman"/>
                <w:color w:val="000000"/>
                <w:sz w:val="20"/>
                <w:szCs w:val="20"/>
                <w:shd w:fill="FFFFFF" w:val="clear"/>
                <w:vertAlign w:val="superscript"/>
              </w:rPr>
              <w:t>2</w:t>
            </w:r>
            <w:r>
              <w:rPr>
                <w:rFonts w:cs="Times New Roman" w:ascii="Times New Roman" w:hAnsi="Times New Roman"/>
                <w:color w:val="000000"/>
                <w:sz w:val="20"/>
                <w:szCs w:val="20"/>
                <w:shd w:fill="FFFFFF" w:val="clear"/>
              </w:rPr>
              <w:t xml:space="preserve">Department of Biomedical Sciences, University of Sassari, Sassari, Italy </w:t>
            </w:r>
            <w:r>
              <w:rPr>
                <w:rFonts w:cs="Times New Roman" w:ascii="Times New Roman" w:hAnsi="Times New Roman"/>
                <w:color w:val="000000"/>
                <w:sz w:val="20"/>
                <w:szCs w:val="20"/>
                <w:shd w:fill="FFFFFF" w:val="clear"/>
                <w:vertAlign w:val="superscript"/>
              </w:rPr>
              <w:t>3</w:t>
            </w:r>
            <w:r>
              <w:rPr>
                <w:rFonts w:cs="Times New Roman" w:ascii="Times New Roman" w:hAnsi="Times New Roman"/>
                <w:color w:val="000000"/>
                <w:sz w:val="20"/>
                <w:szCs w:val="20"/>
                <w:shd w:fill="FFFFFF" w:val="clear"/>
              </w:rPr>
              <w:t>Disciplines of  Wellness, Saint George School, Brescia, Italy Journal of Pediatric and Neonatal Individualized Medicine, vol. 14, n. 2, 6/8  2025</w:t>
            </w:r>
          </w:p>
          <w:p>
            <w:pPr>
              <w:pStyle w:val="Normal"/>
              <w:shd w:val="clear" w:fill="FFFFFF"/>
              <w:textAlignment w:val="baseline"/>
              <w:rPr>
                <w:rFonts w:ascii="Times New Roman" w:hAnsi="Times New Roman" w:cs="Times New Roman"/>
                <w:color w:val="000000"/>
                <w:sz w:val="20"/>
                <w:szCs w:val="20"/>
                <w:shd w:fill="FFFFFF" w:val="clear"/>
              </w:rPr>
            </w:pPr>
            <w:r>
              <w:rPr>
                <w:rFonts w:cs="Times New Roman" w:ascii="Times New Roman" w:hAnsi="Times New Roman"/>
                <w:color w:val="000000"/>
                <w:sz w:val="20"/>
                <w:szCs w:val="20"/>
                <w:shd w:fill="FFFFFF" w:val="clear"/>
              </w:rPr>
            </w:r>
          </w:p>
          <w:p>
            <w:pPr>
              <w:pStyle w:val="Normal"/>
              <w:rPr/>
            </w:pPr>
            <w:r>
              <w:rPr>
                <w:rFonts w:eastAsia="Arial Unicode MS" w:cs="Times New Roman" w:ascii="Times New Roman" w:hAnsi="Times New Roman"/>
                <w:color w:val="000000"/>
                <w:sz w:val="20"/>
                <w:szCs w:val="20"/>
                <w:lang w:eastAsia="it-IT"/>
              </w:rPr>
              <w:t xml:space="preserve">Caputo C., Falco M., Grimaldi A., Lombardi A., Miceli C. C., Cocule M., Montella M., Pompella L., Tirino G., Campione S., Tammaro C., Cossu A., </w:t>
            </w:r>
            <w:r>
              <w:rPr>
                <w:rFonts w:eastAsia="Arial Unicode MS" w:cs="Times New Roman" w:ascii="Times New Roman" w:hAnsi="Times New Roman"/>
                <w:b/>
                <w:color w:val="000000"/>
                <w:sz w:val="20"/>
                <w:szCs w:val="20"/>
                <w:lang w:eastAsia="it-IT"/>
              </w:rPr>
              <w:t>Fenu Pintori G</w:t>
            </w:r>
            <w:r>
              <w:rPr>
                <w:rFonts w:eastAsia="Arial Unicode MS" w:cs="Times New Roman" w:ascii="Times New Roman" w:hAnsi="Times New Roman"/>
                <w:color w:val="000000"/>
                <w:sz w:val="20"/>
                <w:szCs w:val="20"/>
                <w:lang w:eastAsia="it-IT"/>
              </w:rPr>
              <w:t>., Maioli M., Coradduzza D., Savarese G., Fico A., Ottaiano A., Conzo G., Tathode M. S., Ciardiello F., Caraglia M., De Vita F., Misso G. (2024). Identification of Tissue miRNA Signatures for Pancreatic Ductal Adenocarcinoma. CANCERS, vol. 16, ISSN: 2072-6694, doi: 10.3390/cancers16040824</w:t>
            </w:r>
          </w:p>
          <w:p>
            <w:pPr>
              <w:pStyle w:val="Normal"/>
              <w:rPr>
                <w:rFonts w:ascii="Times New Roman" w:hAnsi="Times New Roman" w:eastAsia="Arial Unicode MS" w:cs="Times New Roman"/>
                <w:color w:val="000000"/>
                <w:sz w:val="20"/>
                <w:szCs w:val="20"/>
                <w:lang w:eastAsia="it-IT"/>
              </w:rPr>
            </w:pPr>
            <w:r>
              <w:rPr>
                <w:rFonts w:eastAsia="Arial Unicode MS" w:cs="Times New Roman" w:ascii="Times New Roman" w:hAnsi="Times New Roman"/>
                <w:color w:val="000000"/>
                <w:sz w:val="20"/>
                <w:szCs w:val="20"/>
                <w:lang w:eastAsia="it-IT"/>
              </w:rPr>
            </w:r>
          </w:p>
          <w:p>
            <w:pPr>
              <w:pStyle w:val="Normal"/>
              <w:rPr/>
            </w:pPr>
            <w:r>
              <w:rPr>
                <w:rFonts w:eastAsia="Arial Unicode MS" w:cs="Times New Roman" w:ascii="Times New Roman" w:hAnsi="Times New Roman"/>
                <w:color w:val="000000"/>
                <w:sz w:val="20"/>
                <w:szCs w:val="20"/>
                <w:lang w:eastAsia="it-IT"/>
              </w:rPr>
              <w:t xml:space="preserve">Ramli, Iman, Cheriet, Thamere, Thuan, Duong Thi Bich, Khoi, Dang Ngoc, Thu, Doan Nguyen Khanh, Posadino, Anna Maria, </w:t>
            </w:r>
            <w:r>
              <w:rPr>
                <w:rFonts w:eastAsia="Arial Unicode MS" w:cs="Times New Roman" w:ascii="Times New Roman" w:hAnsi="Times New Roman"/>
                <w:b/>
                <w:color w:val="000000"/>
                <w:sz w:val="20"/>
                <w:szCs w:val="20"/>
                <w:lang w:eastAsia="it-IT"/>
              </w:rPr>
              <w:t>Fenu Pintori, Grazia</w:t>
            </w:r>
            <w:r>
              <w:rPr>
                <w:rFonts w:eastAsia="Arial Unicode MS" w:cs="Times New Roman" w:ascii="Times New Roman" w:hAnsi="Times New Roman"/>
                <w:color w:val="000000"/>
                <w:sz w:val="20"/>
                <w:szCs w:val="20"/>
                <w:lang w:eastAsia="it-IT"/>
              </w:rPr>
              <w:t>, Sharifi-Rad, Javad, Pintus, Gianfranco (2024). Potential applications of antofine and its synthetic derivatives in cancer therapy: structural and molecular insights. NAUNYN-SCHMIEDEBERG'S ARCHIVES OF PHARMACOLOGY, ISSN: 0028-1298, doi: 10.1007/s00210-024-03180-x</w:t>
            </w:r>
          </w:p>
          <w:p>
            <w:pPr>
              <w:pStyle w:val="Normal"/>
              <w:rPr>
                <w:rFonts w:ascii="Times New Roman" w:hAnsi="Times New Roman" w:eastAsia="Arial Unicode MS" w:cs="Times New Roman"/>
                <w:color w:val="000000"/>
                <w:sz w:val="20"/>
                <w:szCs w:val="20"/>
                <w:lang w:eastAsia="it-IT"/>
              </w:rPr>
            </w:pPr>
            <w:r>
              <w:rPr>
                <w:rFonts w:eastAsia="Arial Unicode MS" w:cs="Times New Roman" w:ascii="Times New Roman" w:hAnsi="Times New Roman"/>
                <w:color w:val="000000"/>
                <w:sz w:val="20"/>
                <w:szCs w:val="20"/>
                <w:lang w:eastAsia="it-IT"/>
              </w:rPr>
            </w:r>
          </w:p>
          <w:p>
            <w:pPr>
              <w:pStyle w:val="Normal"/>
              <w:shd w:val="clear" w:fill="FFFFFF"/>
              <w:textAlignment w:val="baseline"/>
              <w:rPr/>
            </w:pPr>
            <w:r>
              <w:rPr>
                <w:rFonts w:cs="Times New Roman" w:ascii="Times New Roman" w:hAnsi="Times New Roman"/>
                <w:color w:val="000000"/>
                <w:sz w:val="20"/>
                <w:szCs w:val="20"/>
              </w:rPr>
              <w:t>Ramli I., Posadino AM, Giordo R., </w:t>
            </w:r>
            <w:r>
              <w:rPr>
                <w:rFonts w:cs="Times New Roman" w:ascii="Times New Roman" w:hAnsi="Times New Roman"/>
                <w:b/>
                <w:bCs/>
                <w:color w:val="000000"/>
                <w:sz w:val="20"/>
                <w:szCs w:val="20"/>
              </w:rPr>
              <w:t>Fenu G</w:t>
            </w:r>
            <w:r>
              <w:rPr>
                <w:rFonts w:cs="Times New Roman" w:ascii="Times New Roman" w:hAnsi="Times New Roman"/>
                <w:bCs/>
                <w:color w:val="000000"/>
                <w:sz w:val="20"/>
                <w:szCs w:val="20"/>
              </w:rPr>
              <w:t>.,</w:t>
            </w:r>
            <w:r>
              <w:rPr>
                <w:rFonts w:cs="Times New Roman" w:ascii="Times New Roman" w:hAnsi="Times New Roman"/>
                <w:color w:val="000000"/>
                <w:sz w:val="20"/>
                <w:szCs w:val="20"/>
              </w:rPr>
              <w:t> Fardoun M., Iratni R., Ali H. Eid, Zayed H., Pintus G*. Effect of resveratrol on pregnancy, prenatal complications, and pregnancy-associated structure alterations. Antioxidants 2023, 12, 341. </w:t>
            </w:r>
            <w:hyperlink r:id="rId3">
              <w:r>
                <w:rPr>
                  <w:rStyle w:val="Hyperlink"/>
                  <w:rFonts w:cs="Times New Roman" w:ascii="Times New Roman" w:hAnsi="Times New Roman"/>
                  <w:color w:val="000000"/>
                  <w:sz w:val="20"/>
                  <w:szCs w:val="20"/>
                </w:rPr>
                <w:t>https://doi.org/10.3390/antiox12020341</w:t>
              </w:r>
            </w:hyperlink>
            <w:r>
              <w:rPr>
                <w:rFonts w:cs="Times New Roman" w:ascii="Times New Roman" w:hAnsi="Times New Roman"/>
                <w:color w:val="000000"/>
                <w:sz w:val="20"/>
                <w:szCs w:val="20"/>
              </w:rPr>
              <w:t>.</w:t>
            </w:r>
          </w:p>
          <w:p>
            <w:pPr>
              <w:pStyle w:val="Normal"/>
              <w:shd w:val="clear" w:fill="FFFFFF"/>
              <w:textAlignment w:val="baseline"/>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hd w:val="clear" w:fill="FFFFFF"/>
              <w:textAlignment w:val="baseline"/>
              <w:rPr/>
            </w:pPr>
            <w:r>
              <w:rPr>
                <w:rStyle w:val="Xgmaildefault"/>
                <w:rFonts w:cs="Times New Roman" w:ascii="Times New Roman" w:hAnsi="Times New Roman"/>
                <w:color w:val="000000"/>
                <w:sz w:val="20"/>
                <w:szCs w:val="20"/>
              </w:rPr>
              <w:t> </w:t>
            </w:r>
            <w:r>
              <w:rPr>
                <w:rFonts w:cs="Times New Roman" w:ascii="Times New Roman" w:hAnsi="Times New Roman"/>
                <w:color w:val="000000"/>
                <w:sz w:val="20"/>
                <w:szCs w:val="20"/>
              </w:rPr>
              <w:t>Posadino AM., Maccioccu P., Ali H. Eid, Giordo R., Pintus G., </w:t>
            </w:r>
            <w:r>
              <w:rPr>
                <w:rFonts w:cs="Times New Roman" w:ascii="Times New Roman" w:hAnsi="Times New Roman"/>
                <w:b/>
                <w:bCs/>
                <w:color w:val="000000"/>
                <w:sz w:val="20"/>
                <w:szCs w:val="20"/>
              </w:rPr>
              <w:t>Fenu Pintori G</w:t>
            </w:r>
            <w:r>
              <w:rPr>
                <w:rFonts w:cs="Times New Roman" w:ascii="Times New Roman" w:hAnsi="Times New Roman"/>
                <w:bCs/>
                <w:color w:val="000000"/>
                <w:sz w:val="20"/>
                <w:szCs w:val="20"/>
              </w:rPr>
              <w:t>.</w:t>
            </w:r>
            <w:r>
              <w:rPr>
                <w:rFonts w:cs="Times New Roman" w:ascii="Times New Roman" w:hAnsi="Times New Roman"/>
                <w:color w:val="000000"/>
                <w:sz w:val="20"/>
                <w:szCs w:val="20"/>
              </w:rPr>
              <w:t> Citrus limon var. pompia Camarda var. nova: A Comprehensive Review of Its Botanical Characteristics, Traditional Uses, Phytochemical Profile, and Potential Health Benefits. Nutrients 2024, 16(16), 2619; PMID: 39203756 PMCID: PMC11357429. </w:t>
            </w:r>
            <w:hyperlink r:id="rId4">
              <w:r>
                <w:rPr>
                  <w:rStyle w:val="Hyperlink"/>
                  <w:rFonts w:cs="Times New Roman" w:ascii="Times New Roman" w:hAnsi="Times New Roman"/>
                  <w:color w:val="000000"/>
                  <w:sz w:val="20"/>
                  <w:szCs w:val="20"/>
                </w:rPr>
                <w:t>https://doi.org/10.3390/nu16162619</w:t>
              </w:r>
            </w:hyperlink>
            <w:r>
              <w:rPr>
                <w:rFonts w:cs="Times New Roman" w:ascii="Times New Roman" w:hAnsi="Times New Roman"/>
                <w:color w:val="000000"/>
                <w:sz w:val="20"/>
                <w:szCs w:val="20"/>
              </w:rPr>
              <w:t>.</w:t>
            </w:r>
          </w:p>
          <w:p>
            <w:pPr>
              <w:pStyle w:val="Normal"/>
              <w:shd w:val="clear" w:fill="FFFFFF"/>
              <w:textAlignment w:val="baseline"/>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shd w:val="clear" w:fill="FFFFFF"/>
              <w:textAlignment w:val="baseline"/>
              <w:rPr/>
            </w:pPr>
            <w:r>
              <w:rPr>
                <w:rStyle w:val="Xgmaildefault"/>
                <w:rFonts w:cs="Times New Roman" w:ascii="Times New Roman" w:hAnsi="Times New Roman"/>
                <w:color w:val="000000"/>
                <w:sz w:val="20"/>
                <w:szCs w:val="20"/>
              </w:rPr>
              <w:t> </w:t>
            </w:r>
            <w:r>
              <w:rPr>
                <w:rFonts w:cs="Times New Roman" w:ascii="Times New Roman" w:hAnsi="Times New Roman"/>
                <w:color w:val="000000"/>
                <w:sz w:val="20"/>
                <w:szCs w:val="20"/>
              </w:rPr>
              <w:t>Ramli I., Thamere Cheriet, Posadino A.M., Giordo R.,</w:t>
            </w:r>
            <w:r>
              <w:rPr>
                <w:rFonts w:cs="Times New Roman" w:ascii="Times New Roman" w:hAnsi="Times New Roman"/>
                <w:bCs/>
                <w:color w:val="000000"/>
                <w:sz w:val="20"/>
                <w:szCs w:val="20"/>
              </w:rPr>
              <w:t> </w:t>
            </w:r>
            <w:r>
              <w:rPr>
                <w:rFonts w:cs="Times New Roman" w:ascii="Times New Roman" w:hAnsi="Times New Roman"/>
                <w:b/>
                <w:bCs/>
                <w:color w:val="000000"/>
                <w:sz w:val="20"/>
                <w:szCs w:val="20"/>
              </w:rPr>
              <w:t>Fenu Pintori G</w:t>
            </w:r>
            <w:r>
              <w:rPr>
                <w:rFonts w:cs="Times New Roman" w:ascii="Times New Roman" w:hAnsi="Times New Roman"/>
                <w:bCs/>
                <w:color w:val="000000"/>
                <w:sz w:val="20"/>
                <w:szCs w:val="20"/>
              </w:rPr>
              <w:t>.,</w:t>
            </w:r>
            <w:r>
              <w:rPr>
                <w:rFonts w:cs="Times New Roman" w:ascii="Times New Roman" w:hAnsi="Times New Roman"/>
                <w:color w:val="000000"/>
                <w:sz w:val="20"/>
                <w:szCs w:val="20"/>
              </w:rPr>
              <w:t> Nwachukwu K.C., Oyewole O.A., Adetunji C.O., Calina D., Sharifi-Rad J., Pintus G. Modulating the p53-MDM2 pathway: The therapeutic potential of natural compounds in cancer treatment. EXCLI Journal 2024. 2024;23:1397-1439 – ISSN 1611-2156. DOI: </w:t>
            </w:r>
            <w:hyperlink r:id="rId5">
              <w:r>
                <w:rPr>
                  <w:rStyle w:val="Hyperlink"/>
                  <w:rFonts w:cs="Times New Roman" w:ascii="Times New Roman" w:hAnsi="Times New Roman"/>
                  <w:color w:val="000000"/>
                  <w:sz w:val="20"/>
                  <w:szCs w:val="20"/>
                </w:rPr>
                <w:t>https://doi.org/10.17179/excli2024-7791</w:t>
              </w:r>
            </w:hyperlink>
            <w:r>
              <w:rPr>
                <w:rFonts w:cs="Times New Roman" w:ascii="Times New Roman" w:hAnsi="Times New Roman"/>
                <w:color w:val="000000"/>
                <w:sz w:val="20"/>
                <w:szCs w:val="20"/>
              </w:rPr>
              <w:t>.</w:t>
              <w:br/>
              <w:br/>
              <w:t>Epigenetic Factors Influencing Longevity: A Preliminary Study</w:t>
            </w:r>
          </w:p>
          <w:p>
            <w:pPr>
              <w:pStyle w:val="Normal"/>
              <w:rPr/>
            </w:pPr>
            <w:r>
              <w:rPr>
                <w:rFonts w:eastAsia="Times New Roman" w:cs="Times New Roman" w:ascii="Times New Roman" w:hAnsi="Times New Roman"/>
                <w:color w:val="000000"/>
                <w:sz w:val="20"/>
                <w:szCs w:val="20"/>
              </w:rPr>
              <w:t xml:space="preserve"> </w:t>
            </w:r>
            <w:r>
              <w:rPr>
                <w:rFonts w:cs="Times New Roman" w:ascii="Times New Roman" w:hAnsi="Times New Roman"/>
                <w:color w:val="000000"/>
                <w:sz w:val="20"/>
                <w:szCs w:val="20"/>
              </w:rPr>
              <w:t>B. Pische</w:t>
            </w:r>
            <w:r>
              <w:rPr>
                <w:rFonts w:cs="Times New Roman" w:ascii="Times New Roman" w:hAnsi="Times New Roman"/>
                <w:color w:val="000000"/>
                <w:sz w:val="20"/>
                <w:szCs w:val="20"/>
                <w:vertAlign w:val="superscript"/>
              </w:rPr>
              <w:t>2</w:t>
            </w:r>
            <w:r>
              <w:rPr>
                <w:rFonts w:cs="Times New Roman" w:ascii="Times New Roman" w:hAnsi="Times New Roman"/>
                <w:color w:val="000000"/>
                <w:sz w:val="20"/>
                <w:szCs w:val="20"/>
              </w:rPr>
              <w:t>, A.M. Posadino</w:t>
            </w:r>
            <w:r>
              <w:rPr>
                <w:rFonts w:cs="Times New Roman" w:ascii="Times New Roman" w:hAnsi="Times New Roman"/>
                <w:color w:val="000000"/>
                <w:sz w:val="20"/>
                <w:szCs w:val="20"/>
                <w:vertAlign w:val="superscript"/>
              </w:rPr>
              <w:t>2</w:t>
            </w:r>
            <w:r>
              <w:rPr>
                <w:rFonts w:cs="Times New Roman" w:ascii="Times New Roman" w:hAnsi="Times New Roman"/>
                <w:color w:val="000000"/>
                <w:sz w:val="20"/>
                <w:szCs w:val="20"/>
              </w:rPr>
              <w:t xml:space="preserve"> , P. Maccioccu</w:t>
            </w:r>
            <w:r>
              <w:rPr>
                <w:rFonts w:cs="Times New Roman" w:ascii="Times New Roman" w:hAnsi="Times New Roman"/>
                <w:color w:val="000000"/>
                <w:sz w:val="20"/>
                <w:szCs w:val="20"/>
                <w:vertAlign w:val="superscript"/>
              </w:rPr>
              <w:t>2</w:t>
            </w:r>
            <w:r>
              <w:rPr>
                <w:rFonts w:cs="Times New Roman" w:ascii="Times New Roman" w:hAnsi="Times New Roman"/>
                <w:color w:val="000000"/>
                <w:sz w:val="20"/>
                <w:szCs w:val="20"/>
              </w:rPr>
              <w:t xml:space="preserve"> , V. Tanca</w:t>
            </w:r>
            <w:r>
              <w:rPr>
                <w:rFonts w:cs="Times New Roman" w:ascii="Times New Roman" w:hAnsi="Times New Roman"/>
                <w:color w:val="000000"/>
                <w:sz w:val="20"/>
                <w:szCs w:val="20"/>
                <w:vertAlign w:val="superscript"/>
              </w:rPr>
              <w:t>2</w:t>
            </w:r>
            <w:r>
              <w:rPr>
                <w:rFonts w:cs="Times New Roman" w:ascii="Times New Roman" w:hAnsi="Times New Roman"/>
                <w:color w:val="000000"/>
                <w:sz w:val="20"/>
                <w:szCs w:val="20"/>
              </w:rPr>
              <w:t xml:space="preserve"> , G. Terziani</w:t>
            </w:r>
            <w:r>
              <w:rPr>
                <w:rFonts w:cs="Times New Roman" w:ascii="Times New Roman" w:hAnsi="Times New Roman"/>
                <w:color w:val="000000"/>
                <w:sz w:val="20"/>
                <w:szCs w:val="20"/>
                <w:vertAlign w:val="superscript"/>
              </w:rPr>
              <w:t>3</w:t>
            </w:r>
            <w:r>
              <w:rPr>
                <w:rFonts w:cs="Times New Roman" w:ascii="Times New Roman" w:hAnsi="Times New Roman"/>
                <w:color w:val="000000"/>
                <w:sz w:val="20"/>
                <w:szCs w:val="20"/>
              </w:rPr>
              <w:t xml:space="preserve"> , </w:t>
            </w:r>
            <w:r>
              <w:rPr>
                <w:rFonts w:cs="Times New Roman" w:ascii="Times New Roman" w:hAnsi="Times New Roman"/>
                <w:b/>
                <w:color w:val="000000"/>
                <w:sz w:val="20"/>
                <w:szCs w:val="20"/>
              </w:rPr>
              <w:t>G. Fenu Pintori</w:t>
            </w:r>
            <w:r>
              <w:rPr>
                <w:rFonts w:cs="Times New Roman" w:ascii="Times New Roman" w:hAnsi="Times New Roman"/>
                <w:b/>
                <w:color w:val="000000"/>
                <w:sz w:val="20"/>
                <w:szCs w:val="20"/>
                <w:vertAlign w:val="superscript"/>
              </w:rPr>
              <w:t>2</w:t>
            </w:r>
            <w:r>
              <w:rPr>
                <w:rFonts w:cs="Times New Roman" w:ascii="Times New Roman" w:hAnsi="Times New Roman"/>
                <w:color w:val="000000"/>
                <w:sz w:val="20"/>
                <w:szCs w:val="20"/>
              </w:rPr>
              <w:t xml:space="preserve"> University of Sassari, Sassari, Italy eISSN: 2281-0692 Journal of Pediatric and Neonatal Individualized Medicine 2024;13(2): e130211 doi: 10.7363/130211 Published online: 2024 Oct 25</w:t>
            </w:r>
          </w:p>
          <w:p>
            <w:pPr>
              <w:pStyle w:val="Normal"/>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Normal"/>
              <w:rPr/>
            </w:pPr>
            <w:r>
              <w:rPr>
                <w:rFonts w:cs="Times New Roman" w:ascii="Times New Roman" w:hAnsi="Times New Roman"/>
                <w:b/>
                <w:bCs/>
                <w:color w:val="000000"/>
                <w:sz w:val="20"/>
                <w:szCs w:val="20"/>
                <w:lang w:eastAsia="it-IT"/>
              </w:rPr>
              <w:t xml:space="preserve">Un agrume nella storia della Sardegna: </w:t>
            </w:r>
            <w:r>
              <w:rPr>
                <w:rFonts w:cs="Times New Roman" w:ascii="Times New Roman" w:hAnsi="Times New Roman"/>
                <w:b/>
                <w:bCs/>
                <w:i/>
                <w:iCs/>
                <w:color w:val="000000"/>
                <w:sz w:val="20"/>
                <w:szCs w:val="20"/>
                <w:lang w:eastAsia="it-IT"/>
              </w:rPr>
              <w:t xml:space="preserve">Citrus limon </w:t>
            </w:r>
            <w:r>
              <w:rPr>
                <w:rFonts w:cs="Times New Roman" w:ascii="Times New Roman" w:hAnsi="Times New Roman"/>
                <w:b/>
                <w:bCs/>
                <w:color w:val="000000"/>
                <w:sz w:val="20"/>
                <w:szCs w:val="20"/>
                <w:lang w:eastAsia="it-IT"/>
              </w:rPr>
              <w:t xml:space="preserve">var. </w:t>
            </w:r>
            <w:r>
              <w:rPr>
                <w:rFonts w:cs="Times New Roman" w:ascii="Times New Roman" w:hAnsi="Times New Roman"/>
                <w:b/>
                <w:bCs/>
                <w:i/>
                <w:iCs/>
                <w:color w:val="000000"/>
                <w:sz w:val="20"/>
                <w:szCs w:val="20"/>
                <w:lang w:eastAsia="it-IT"/>
              </w:rPr>
              <w:t xml:space="preserve">pompia </w:t>
            </w:r>
            <w:r>
              <w:rPr>
                <w:rFonts w:cs="Times New Roman" w:ascii="Times New Roman" w:hAnsi="Times New Roman"/>
                <w:b/>
                <w:bCs/>
                <w:color w:val="000000"/>
                <w:sz w:val="20"/>
                <w:szCs w:val="20"/>
                <w:lang w:eastAsia="it-IT"/>
              </w:rPr>
              <w:t>Camarda var. nova</w:t>
            </w:r>
          </w:p>
          <w:p>
            <w:pPr>
              <w:pStyle w:val="Normal"/>
              <w:rPr>
                <w:rFonts w:ascii="Times New Roman" w:hAnsi="Times New Roman" w:cs="Times New Roman"/>
                <w:color w:val="000000"/>
                <w:sz w:val="20"/>
                <w:szCs w:val="20"/>
                <w:lang w:eastAsia="it-IT"/>
              </w:rPr>
            </w:pPr>
            <w:r>
              <w:rPr>
                <w:rFonts w:cs="Times New Roman" w:ascii="Times New Roman" w:hAnsi="Times New Roman"/>
                <w:color w:val="000000"/>
                <w:sz w:val="20"/>
                <w:szCs w:val="20"/>
                <w:lang w:eastAsia="it-IT"/>
              </w:rPr>
              <w:t xml:space="preserve">I. Camarda </w:t>
            </w:r>
            <w:r>
              <w:rPr>
                <w:rFonts w:cs="Times New Roman" w:ascii="Times New Roman" w:hAnsi="Times New Roman"/>
                <w:color w:val="000000"/>
                <w:sz w:val="20"/>
                <w:szCs w:val="20"/>
                <w:vertAlign w:val="superscript"/>
                <w:lang w:eastAsia="it-IT"/>
              </w:rPr>
              <w:t>1</w:t>
            </w:r>
            <w:r>
              <w:rPr>
                <w:rFonts w:cs="Times New Roman" w:ascii="Times New Roman" w:hAnsi="Times New Roman"/>
                <w:color w:val="000000"/>
                <w:sz w:val="20"/>
                <w:szCs w:val="20"/>
                <w:lang w:eastAsia="it-IT"/>
              </w:rPr>
              <w:t>, P. Mazzola</w:t>
            </w:r>
            <w:r>
              <w:rPr>
                <w:rFonts w:cs="Times New Roman" w:ascii="Times New Roman" w:hAnsi="Times New Roman"/>
                <w:color w:val="000000"/>
                <w:sz w:val="20"/>
                <w:szCs w:val="20"/>
                <w:vertAlign w:val="superscript"/>
                <w:lang w:eastAsia="it-IT"/>
              </w:rPr>
              <w:t xml:space="preserve"> 2</w:t>
            </w:r>
            <w:r>
              <w:rPr>
                <w:rFonts w:cs="Times New Roman" w:ascii="Times New Roman" w:hAnsi="Times New Roman"/>
                <w:color w:val="000000"/>
                <w:sz w:val="20"/>
                <w:szCs w:val="20"/>
                <w:lang w:eastAsia="it-IT"/>
              </w:rPr>
              <w:t xml:space="preserve">, A. Brunu </w:t>
            </w:r>
            <w:r>
              <w:rPr>
                <w:rFonts w:cs="Times New Roman" w:ascii="Times New Roman" w:hAnsi="Times New Roman"/>
                <w:color w:val="000000"/>
                <w:sz w:val="20"/>
                <w:szCs w:val="20"/>
                <w:vertAlign w:val="superscript"/>
                <w:lang w:eastAsia="it-IT"/>
              </w:rPr>
              <w:t>1</w:t>
            </w:r>
            <w:r>
              <w:rPr>
                <w:rFonts w:cs="Times New Roman" w:ascii="Times New Roman" w:hAnsi="Times New Roman"/>
                <w:color w:val="000000"/>
                <w:sz w:val="20"/>
                <w:szCs w:val="20"/>
                <w:lang w:eastAsia="it-IT"/>
              </w:rPr>
              <w:t xml:space="preserve">, </w:t>
            </w:r>
            <w:r>
              <w:rPr>
                <w:rFonts w:cs="Times New Roman" w:ascii="Times New Roman" w:hAnsi="Times New Roman"/>
                <w:b/>
                <w:color w:val="000000"/>
                <w:sz w:val="20"/>
                <w:szCs w:val="20"/>
                <w:lang w:eastAsia="it-IT"/>
              </w:rPr>
              <w:t>G. Fenu Pintori</w:t>
            </w:r>
            <w:r>
              <w:rPr>
                <w:rFonts w:cs="Times New Roman" w:ascii="Times New Roman" w:hAnsi="Times New Roman"/>
                <w:color w:val="000000"/>
                <w:sz w:val="20"/>
                <w:szCs w:val="20"/>
                <w:vertAlign w:val="superscript"/>
                <w:lang w:eastAsia="it-IT"/>
              </w:rPr>
              <w:t xml:space="preserve"> 3</w:t>
            </w:r>
            <w:r>
              <w:rPr>
                <w:rFonts w:cs="Times New Roman" w:ascii="Times New Roman" w:hAnsi="Times New Roman"/>
                <w:color w:val="000000"/>
                <w:sz w:val="20"/>
                <w:szCs w:val="20"/>
                <w:lang w:eastAsia="it-IT"/>
              </w:rPr>
              <w:t xml:space="preserve">, G. Lombardo </w:t>
            </w:r>
            <w:r>
              <w:rPr>
                <w:rFonts w:cs="Times New Roman" w:ascii="Times New Roman" w:hAnsi="Times New Roman"/>
                <w:color w:val="000000"/>
                <w:sz w:val="20"/>
                <w:szCs w:val="20"/>
                <w:vertAlign w:val="superscript"/>
                <w:lang w:eastAsia="it-IT"/>
              </w:rPr>
              <w:t>4</w:t>
            </w:r>
            <w:r>
              <w:rPr>
                <w:rFonts w:cs="Times New Roman" w:ascii="Times New Roman" w:hAnsi="Times New Roman"/>
                <w:color w:val="000000"/>
                <w:sz w:val="20"/>
                <w:szCs w:val="20"/>
                <w:lang w:eastAsia="it-IT"/>
              </w:rPr>
              <w:t xml:space="preserve"> &amp; F. Palla</w:t>
            </w:r>
            <w:r>
              <w:rPr>
                <w:rFonts w:cs="Times New Roman" w:ascii="Times New Roman" w:hAnsi="Times New Roman"/>
                <w:color w:val="000000"/>
                <w:sz w:val="20"/>
                <w:szCs w:val="20"/>
                <w:vertAlign w:val="superscript"/>
                <w:lang w:eastAsia="it-IT"/>
              </w:rPr>
              <w:t xml:space="preserve"> 4</w:t>
            </w:r>
          </w:p>
          <w:p>
            <w:pPr>
              <w:pStyle w:val="Normal"/>
              <w:rPr>
                <w:rFonts w:ascii="Times New Roman" w:hAnsi="Times New Roman" w:eastAsia="TimesNewRomanPSMT;Yu Gothic UI" w:cs="Times New Roman"/>
                <w:color w:val="000000"/>
                <w:sz w:val="20"/>
                <w:szCs w:val="20"/>
                <w:lang w:eastAsia="it-IT"/>
              </w:rPr>
            </w:pPr>
            <w:r>
              <w:rPr>
                <w:rFonts w:cs="Times New Roman" w:ascii="Times New Roman" w:hAnsi="Times New Roman"/>
                <w:color w:val="000000"/>
                <w:sz w:val="20"/>
                <w:szCs w:val="20"/>
                <w:vertAlign w:val="superscript"/>
                <w:lang w:eastAsia="it-IT"/>
              </w:rPr>
              <w:t>1</w:t>
            </w:r>
            <w:r>
              <w:rPr>
                <w:rFonts w:cs="Times New Roman" w:ascii="Times New Roman" w:hAnsi="Times New Roman"/>
                <w:color w:val="000000"/>
                <w:sz w:val="20"/>
                <w:szCs w:val="20"/>
                <w:lang w:eastAsia="it-IT"/>
              </w:rPr>
              <w:t xml:space="preserve"> </w:t>
            </w:r>
            <w:r>
              <w:rPr>
                <w:rFonts w:eastAsia="TimesNewRomanPSMT;Yu Gothic UI" w:cs="Times New Roman" w:ascii="Times New Roman" w:hAnsi="Times New Roman"/>
                <w:color w:val="000000"/>
                <w:sz w:val="20"/>
                <w:szCs w:val="20"/>
                <w:lang w:eastAsia="it-IT"/>
              </w:rPr>
              <w:t xml:space="preserve">Dipartimento di Agraria,Università di Sassari. </w:t>
            </w:r>
            <w:r>
              <w:rPr>
                <w:rFonts w:cs="Times New Roman" w:ascii="Times New Roman" w:hAnsi="Times New Roman"/>
                <w:color w:val="000000"/>
                <w:sz w:val="20"/>
                <w:szCs w:val="20"/>
                <w:vertAlign w:val="superscript"/>
                <w:lang w:eastAsia="it-IT"/>
              </w:rPr>
              <w:t xml:space="preserve">2 </w:t>
            </w:r>
            <w:r>
              <w:rPr>
                <w:rFonts w:eastAsia="TimesNewRomanPSMT;Yu Gothic UI" w:cs="Times New Roman" w:ascii="Times New Roman" w:hAnsi="Times New Roman"/>
                <w:color w:val="000000"/>
                <w:sz w:val="20"/>
                <w:szCs w:val="20"/>
                <w:lang w:eastAsia="it-IT"/>
              </w:rPr>
              <w:t xml:space="preserve">Pietro Mazzola: Dipartimento di Scienze Agrarie e Forestali, Università di Palermo. </w:t>
            </w:r>
            <w:r>
              <w:rPr>
                <w:rFonts w:cs="Times New Roman" w:ascii="Times New Roman" w:hAnsi="Times New Roman"/>
                <w:color w:val="000000"/>
                <w:sz w:val="20"/>
                <w:szCs w:val="20"/>
                <w:vertAlign w:val="superscript"/>
                <w:lang w:eastAsia="it-IT"/>
              </w:rPr>
              <w:t>3</w:t>
            </w:r>
            <w:r>
              <w:rPr>
                <w:rFonts w:eastAsia="TimesNewRomanPSMT;Yu Gothic UI" w:cs="Times New Roman" w:ascii="Times New Roman" w:hAnsi="Times New Roman"/>
                <w:color w:val="000000"/>
                <w:sz w:val="20"/>
                <w:szCs w:val="20"/>
                <w:lang w:eastAsia="it-IT"/>
              </w:rPr>
              <w:t xml:space="preserve">Dipartimento di Scienze Biomediche, Università di Sassari. </w:t>
            </w:r>
            <w:r>
              <w:rPr>
                <w:rFonts w:cs="Times New Roman" w:ascii="Times New Roman" w:hAnsi="Times New Roman"/>
                <w:color w:val="000000"/>
                <w:sz w:val="20"/>
                <w:szCs w:val="20"/>
                <w:vertAlign w:val="superscript"/>
                <w:lang w:eastAsia="it-IT"/>
              </w:rPr>
              <w:t>4</w:t>
            </w:r>
            <w:r>
              <w:rPr>
                <w:rFonts w:cs="Times New Roman" w:ascii="Times New Roman" w:hAnsi="Times New Roman"/>
                <w:color w:val="000000"/>
                <w:sz w:val="20"/>
                <w:szCs w:val="20"/>
                <w:lang w:eastAsia="it-IT"/>
              </w:rPr>
              <w:t xml:space="preserve"> </w:t>
            </w:r>
            <w:r>
              <w:rPr>
                <w:rFonts w:eastAsia="TimesNewRomanPSMT;Yu Gothic UI" w:cs="Times New Roman" w:ascii="Times New Roman" w:hAnsi="Times New Roman"/>
                <w:color w:val="000000"/>
                <w:sz w:val="20"/>
                <w:szCs w:val="20"/>
                <w:lang w:eastAsia="it-IT"/>
              </w:rPr>
              <w:t>Dipartimento STEBICEF / Sezione di Botanica ed Ecologia vegetale, Università di Palermo.</w:t>
            </w:r>
            <w:r>
              <w:rPr>
                <w:rFonts w:cs="Times New Roman" w:ascii="Times New Roman" w:hAnsi="Times New Roman"/>
                <w:b/>
                <w:bCs/>
                <w:i/>
                <w:iCs/>
                <w:color w:val="000000"/>
                <w:sz w:val="20"/>
                <w:szCs w:val="20"/>
                <w:lang w:eastAsia="it-IT"/>
              </w:rPr>
              <w:t xml:space="preserve"> </w:t>
            </w:r>
            <w:r>
              <w:rPr>
                <w:rFonts w:cs="Times New Roman" w:ascii="Times New Roman" w:hAnsi="Times New Roman"/>
                <w:bCs/>
                <w:i/>
                <w:iCs/>
                <w:color w:val="000000"/>
                <w:sz w:val="20"/>
                <w:szCs w:val="20"/>
                <w:lang w:eastAsia="it-IT"/>
              </w:rPr>
              <w:t>Quad. Bot. Amb. Appl., 24 (2013): 109-118.</w:t>
            </w:r>
          </w:p>
          <w:p>
            <w:pPr>
              <w:pStyle w:val="Normal"/>
              <w:rPr>
                <w:rFonts w:ascii="Times New Roman" w:hAnsi="Times New Roman" w:cs="Times New Roman"/>
                <w:b/>
                <w:bCs/>
                <w:iCs/>
                <w:color w:val="000000"/>
                <w:sz w:val="20"/>
                <w:szCs w:val="20"/>
                <w:lang w:eastAsia="it-IT"/>
              </w:rPr>
            </w:pPr>
            <w:r>
              <w:rPr>
                <w:rFonts w:cs="Times New Roman" w:ascii="Times New Roman" w:hAnsi="Times New Roman"/>
                <w:b/>
                <w:bCs/>
                <w:iCs/>
                <w:color w:val="000000"/>
                <w:sz w:val="20"/>
                <w:szCs w:val="20"/>
                <w:lang w:eastAsia="it-IT"/>
              </w:rPr>
              <w:t>N.B.:Lavoro non indicizzato, pubblicato in rivista botanica per il riconoscimento della Pompia</w:t>
            </w:r>
          </w:p>
          <w:p>
            <w:pPr>
              <w:pStyle w:val="Normal"/>
              <w:rPr>
                <w:rFonts w:ascii="Times New Roman" w:hAnsi="Times New Roman" w:eastAsia="TimesNewRomanPSMT;Yu Gothic UI" w:cs="Times New Roman"/>
                <w:b/>
                <w:bCs/>
                <w:iCs/>
                <w:color w:val="000000"/>
                <w:sz w:val="20"/>
                <w:szCs w:val="20"/>
                <w:lang w:eastAsia="it-IT"/>
              </w:rPr>
            </w:pPr>
            <w:r>
              <w:rPr>
                <w:rFonts w:eastAsia="TimesNewRomanPSMT;Yu Gothic UI" w:cs="Times New Roman" w:ascii="Times New Roman" w:hAnsi="Times New Roman"/>
                <w:b/>
                <w:bCs/>
                <w:iCs/>
                <w:color w:val="000000"/>
                <w:sz w:val="20"/>
                <w:szCs w:val="20"/>
                <w:lang w:eastAsia="it-IT"/>
              </w:rPr>
            </w:r>
          </w:p>
          <w:p>
            <w:pPr>
              <w:pStyle w:val="Normal"/>
              <w:rPr>
                <w:rFonts w:ascii="Times New Roman" w:hAnsi="Times New Roman" w:eastAsia="Times New Roman" w:cs="Times New Roman"/>
                <w:b/>
                <w:color w:val="000000"/>
                <w:sz w:val="20"/>
                <w:szCs w:val="20"/>
                <w:lang w:eastAsia="it-IT"/>
              </w:rPr>
            </w:pPr>
            <w:r>
              <w:rPr>
                <w:rFonts w:eastAsia="Times New Roman" w:cs="Times New Roman" w:ascii="Times New Roman" w:hAnsi="Times New Roman"/>
                <w:b/>
                <w:color w:val="000000"/>
                <w:sz w:val="20"/>
                <w:szCs w:val="20"/>
                <w:lang w:eastAsia="it-IT"/>
              </w:rPr>
              <w:t xml:space="preserve">NOTA  sulla cronologia: ATTUALMENTE NESSUNA PUBBLICAZIONE E’ PRESENTE IN MERITO ALLA MATERIA DEL BREVETTO </w:t>
            </w:r>
            <w:r>
              <w:rPr>
                <w:rFonts w:cs="Times New Roman" w:ascii="Times New Roman" w:hAnsi="Times New Roman"/>
                <w:b/>
                <w:color w:val="000000"/>
                <w:sz w:val="20"/>
                <w:szCs w:val="20"/>
              </w:rPr>
              <w:t>WO 2017/085749 AI: LA RICERCA E’ IN FASE DI SVILUPPO CON TAPPE ATTUALMENTE NON PUBBLICABILI</w:t>
            </w:r>
          </w:p>
          <w:p>
            <w:pPr>
              <w:pStyle w:val="Normal"/>
              <w:rPr>
                <w:rFonts w:ascii="Times New Roman" w:hAnsi="Times New Roman" w:eastAsia="TimesNewRomanPSMT;Yu Gothic UI" w:cs="Times New Roman"/>
                <w:b/>
                <w:color w:val="000000"/>
                <w:sz w:val="20"/>
                <w:szCs w:val="20"/>
                <w:lang w:eastAsia="it-IT"/>
              </w:rPr>
            </w:pPr>
            <w:r>
              <w:rPr>
                <w:rFonts w:eastAsia="TimesNewRomanPSMT;Yu Gothic UI" w:cs="Times New Roman" w:ascii="Times New Roman" w:hAnsi="Times New Roman"/>
                <w:b/>
                <w:color w:val="000000"/>
                <w:sz w:val="20"/>
                <w:szCs w:val="20"/>
                <w:lang w:eastAsia="it-IT"/>
              </w:rPr>
            </w:r>
          </w:p>
          <w:p>
            <w:pPr>
              <w:pStyle w:val="Normal"/>
              <w:rPr>
                <w:rFonts w:ascii="Times New Roman" w:hAnsi="Times New Roman" w:eastAsia="TimesNewRomanPSMT;Yu Gothic UI" w:cs="Times New Roman"/>
                <w:color w:val="000000"/>
                <w:sz w:val="20"/>
                <w:szCs w:val="20"/>
                <w:lang w:eastAsia="it-IT"/>
              </w:rPr>
            </w:pPr>
            <w:r>
              <w:rPr>
                <w:rFonts w:eastAsia="TimesNewRomanPSMT;Yu Gothic UI"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Mazzarello, Vittorio Lorenzo, Farace F, Ena, Pasquale,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Mulas P, Piu L, RUBINO, Corrado (2012). A superficial texture analysis of 70% glycolic Acid topical therapy and striae distensae. PLASTIC AND RECONSTRUCTIVE SURGERY, vol. 129, p. 589e-590e, ISSN: 0032-1052, doi: 10.1097/PRS.0b013e3182419c40</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Porzionato A,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Rucinski M, Macchi V, MONTELLA, Andrea Costantino Mario, Malendowicz LK, De Caro R. (2011). KISS1 and KISS1R expression in the human and rat carotid body and superior cervical ganglion. EUROPEAN JOURNAL OF HISTOCHEMISTRY, vol. 55, p. 78-81, ISSN: 1121-760X, doi: 10.4081/ejh.2011.e14</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Montella, Andrea Costantino Mario, Porzionato, Andrea,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Ruciński, Marcin, Macchi, Veronica, Malendowicz, Ludwik K., De Caro, Raffaele (2011). KISS1and KISS1R expression in the human and rat carotid body and superior cervical ganglion. EUROPEAN JOURNAL OF HISTOCHEMISTRY, vol. 55:e14, p. 78-81, ISSN: 2038-8306, doi: 10.4081/ejh.2011.e14</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A. Carai a, M. Foddai b, E. Azara c, S. Careddu a, USAI, Marianna (2010). Composition and seasonal variation of Citrus mostruosa essential oil from Sardinia. THE INTERNATIONAL JOURNAL OF ESSENTIAL OIL THERAPEUTICS, vol. 4, p. 23-25, ISSN: 1961-4209</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Carai A, MONTELLA, Andrea Costantino Mario, BOZZO, Corrado Pasquale, Delehaye E, Meloni F, FODDAI, Marzia (2010). Effects of isotonic salso-bromo-iodine thermal water after sinunasal surgery: a preliminary morphological study. JOURNAL OF ALTERNATIVE AND COMPLEMENTARY MEDICINE, vol. 16, p. 341-343, ISSN: 1075-5535, doi: 10.1089/acm.2009.0327</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CARAI A,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SECHI E, CROTTI FM, MONTELLA, Andrea Costantino Mario (2009). Anatomical variability of the lateral femoral cutaneous nerve: findings from a surgical series. CLINICAL ANATOMY, vol. 22, p. 365-370, ISSN: 0897-3806</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FODDAI, Marzia, CARAI A, PIRINO, Alessio, USAI, Marianna (2008). Therapeutic properties of myrtle essential oil: an  in vitro study on human  nasal mucosa cells. THE INTERNATIONAL JOURNAL OF ESSENTIAL OIL THERAPEUTICS, vol. 2, p. 21-25, ISSN: 1961-4209</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DORE S, SOTGIU, Maria Alessandra, CARTA  A, MONTELLA, Andrea Costantino Mario (2007). Are hyalocytes deriving from  monocytic origin cells? A morphological and immunocytochemical study. EUROPEAN JOURNAL OF HISTOCHEMISTRY, vol. 49, ISSN: 1121-760X</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Farris, Emmanuele, </w:t>
            </w:r>
            <w:r>
              <w:rPr>
                <w:rFonts w:eastAsia="Times New Roman" w:cs="Times New Roman" w:ascii="Times New Roman" w:hAnsi="Times New Roman"/>
                <w:b/>
                <w:color w:val="000000"/>
                <w:sz w:val="20"/>
                <w:szCs w:val="20"/>
                <w:lang w:eastAsia="it-IT"/>
              </w:rPr>
              <w:t>Fenu, Grazia</w:t>
            </w:r>
            <w:r>
              <w:rPr>
                <w:rFonts w:eastAsia="Times New Roman" w:cs="Times New Roman" w:ascii="Times New Roman" w:hAnsi="Times New Roman"/>
                <w:color w:val="000000"/>
                <w:sz w:val="20"/>
                <w:szCs w:val="20"/>
                <w:lang w:eastAsia="it-IT"/>
              </w:rPr>
              <w:t>, Mattana, Efisio, Mulè, Paolo, Filigheddu, Rossella Speranza, Bacchetta, Gianluigi (2007). Contributo alla conoscenza dei boschi aLaurus nobilis L. della Sardegna, habitat prioritario ai sensi della Direttiva 92/43/CEE. FITOSOCIOLOGIA, vol. 44, p. 239-244, ISSN: 1125-9078</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BOZZO, Corrado Pasquale,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F. Stomeo, MELONI, Francesco, M. Cau, MONTELLA, Andrea Costantino Mario (2005). Cytomorphologic and  ultrastructural study of  nasal mucosa by means of  brushing: a comparison between asymptomatic and  rhinitic subjects. RHINOLOGY, vol. 43, p. 261-265, ISSN: 0300-0729</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DEVILLA  L, MURA M. A, CARTA F, MONTELLA, Andrea Costantino Mario (2005). Immunoistochemical data on the human vitreous cells. EUROPEAN JOURNAL OF HISTOCHEMISTRY, vol. 49, ISSN: 1121-760X</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MAZZARELLO V, CECCHINI A, MONTELLA, Andrea Costantino Mario (2004). Lynphocytes in schizophrenic patients under theraphy: serological, morphological and cell subset findings. ITALIAN JOURNAL OF ANATOMY AND EMBRYOLOGY, vol. 109, p. 177-188, ISSN: 1122-6714</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S. Pacini, L. Giovannelli, M. Gulisano, B. Peruzzi, G. Polli, V. Bo, M. Ruggiero, BOZZO, Corrado Pasquale, F. Stomeo,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S. Pezzatini, V. Pi, P. Dolara (2003). Association between atmospheric ozone levels and damage to human nasal mucosa in Florence, Italy. ENVIRONMENTAL AND MOLECULAR MUTAGENESIS, vol. 42, p. 127-135, ISSN: 1098-2280</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pPr>
            <w:r>
              <w:rPr>
                <w:rFonts w:eastAsia="Times New Roman" w:cs="Times New Roman" w:ascii="Times New Roman" w:hAnsi="Times New Roman"/>
                <w:color w:val="000000"/>
                <w:sz w:val="20"/>
                <w:szCs w:val="20"/>
                <w:lang w:eastAsia="it-IT"/>
              </w:rPr>
              <w:t xml:space="preserve">SBERNARDORI M.C., </w:t>
            </w:r>
            <w:r>
              <w:rPr>
                <w:rFonts w:eastAsia="Times New Roman" w:cs="Times New Roman" w:ascii="Times New Roman" w:hAnsi="Times New Roman"/>
                <w:b/>
                <w:color w:val="000000"/>
                <w:sz w:val="20"/>
                <w:szCs w:val="20"/>
                <w:lang w:eastAsia="it-IT"/>
              </w:rPr>
              <w:t>FENU PINTORI Grazia</w:t>
            </w:r>
            <w:r>
              <w:rPr>
                <w:rFonts w:eastAsia="Times New Roman" w:cs="Times New Roman" w:ascii="Times New Roman" w:hAnsi="Times New Roman"/>
                <w:color w:val="000000"/>
                <w:sz w:val="20"/>
                <w:szCs w:val="20"/>
                <w:lang w:eastAsia="it-IT"/>
              </w:rPr>
              <w:t>, FABBRICIANI C, PIRINO, Alessio, MONTELLA, Andrea Costantino Mario (2000). Histogenesis and morphology of the flexor tendon pulley system in the human embryonic hand. JOURNAL OF HAND SURGERY, vol. 25, p. 175-179, ISSN: 0363-5023</w:t>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p>
            <w:pPr>
              <w:pStyle w:val="Normal"/>
              <w:rPr>
                <w:rFonts w:ascii="Times New Roman" w:hAnsi="Times New Roman" w:eastAsia="Times New Roman" w:cs="Times New Roman"/>
                <w:color w:val="000000"/>
                <w:sz w:val="20"/>
                <w:szCs w:val="20"/>
                <w:lang w:eastAsia="it-IT"/>
              </w:rPr>
            </w:pPr>
            <w:r>
              <w:rPr>
                <w:rFonts w:eastAsia="Times New Roman" w:cs="Times New Roman" w:ascii="Times New Roman" w:hAnsi="Times New Roman"/>
                <w:color w:val="000000"/>
                <w:sz w:val="20"/>
                <w:szCs w:val="20"/>
                <w:lang w:eastAsia="it-IT"/>
              </w:rPr>
            </w:r>
          </w:p>
        </w:tc>
      </w:tr>
    </w:tbl>
    <w:p>
      <w:pPr>
        <w:pStyle w:val="ECVText"/>
        <w:rPr/>
      </w:pPr>
      <w:r>
        <w:rPr/>
      </w:r>
    </w:p>
    <w:tbl>
      <w:tblPr>
        <w:tblpPr w:vertAnchor="text" w:horzAnchor="text" w:tblpXSpec="left" w:bottomFromText="170" w:topFromText="6" w:tblpY="6"/>
        <w:tblW w:w="5000" w:type="pct"/>
        <w:jc w:val="left"/>
        <w:tblInd w:w="0" w:type="dxa"/>
        <w:tblLayout w:type="fixed"/>
        <w:tblCellMar>
          <w:top w:w="0" w:type="dxa"/>
          <w:left w:w="0" w:type="dxa"/>
          <w:bottom w:w="0" w:type="dxa"/>
          <w:right w:w="0" w:type="dxa"/>
        </w:tblCellMar>
      </w:tblPr>
      <w:tblGrid>
        <w:gridCol w:w="2833"/>
        <w:gridCol w:w="7542"/>
      </w:tblGrid>
      <w:tr>
        <w:trPr>
          <w:trHeight w:val="3686" w:hRule="atLeast"/>
        </w:trPr>
        <w:tc>
          <w:tcPr>
            <w:tcW w:w="2833" w:type="dxa"/>
            <w:tcBorders/>
          </w:tcPr>
          <w:p>
            <w:pPr>
              <w:pStyle w:val="ECVLeftDetails"/>
              <w:spacing w:before="23" w:after="0"/>
              <w:rPr>
                <w:b/>
                <w:color w:val="365F91"/>
              </w:rPr>
            </w:pPr>
            <w:r>
              <w:rPr>
                <w:b/>
                <w:color w:val="365F91"/>
              </w:rPr>
              <w:t>CONVEGNI</w:t>
            </w:r>
          </w:p>
          <w:p>
            <w:pPr>
              <w:pStyle w:val="ECVLeftDetails"/>
              <w:rPr>
                <w:b/>
                <w:color w:val="365F91"/>
              </w:rPr>
            </w:pPr>
            <w:r>
              <w:rPr>
                <w:b/>
                <w:color w:val="365F91"/>
              </w:rPr>
              <w:t>i più recenti</w:t>
            </w:r>
          </w:p>
        </w:tc>
        <w:tc>
          <w:tcPr>
            <w:tcW w:w="7542" w:type="dxa"/>
            <w:tcBorders/>
          </w:tcPr>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Relatore per l’Evento “Longevità, salute e valorizzazione territoriale” nell’ambito della cerimonia di intitolazione del Polo della Salute e della Ricerca d’Ogliastra al Prof. Antonio Spanedda (scopritore della molecola della Cefalosporina), Poligono Sperimentale e di Addestramento Interforze di Quirra, Perdasdefogu (Ogliastra)</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Relatore: 21st International Workshop on Neonatology and Pediatrics &amp; Satellite Meetings “Evolution and Revolution in Neonatology and Pediatrics”. “Metabolic Determinants of Fibromyalgia: An Epigenetic Approach”, Cagliari</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Relatore: Convegno Fibromialgia: nuovi studi, presa in carico del paziente, terapie personalizzate. Comunicazione scientifica: "Epigenetica della Longevità come innovazione nel trattamento della Sindrome Fibromialgica: La Sardegna diventa Terra Terapeutica”, Oristano – Nuoro</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Relatore: Convegno Promozione della Salute, Ecologia Sociale e Fibromialgia: nodi della rete formali e informali per potenziare il capitale sociale. Comunicazione scientifica: “Epigenetica della Longevità come Innovazione nel trattamento della Sindrome Fibromialgica: La Sardegna diventa Terra Terapeutica”, Selargius (CA)</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Relatore della presentazione “La rivoluzione epigenetica per la Longevità” ROMA (28/29/30 Marzo) Congresso internazionale di Medicina Biointegrata</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2025 – 1° Relatore XXVI Congresso Internazionale di medicina funzionale, metabolomica e impatto ambientale “Dalla Cellula alla Longevita' nell'era dell'epigenetica”, Milano</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2024 – 1° Relatore e Moderatore Congresso di Epigenetica, Medicina Funzionale e Metabolomica, Bologna</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2024 – 1° Relatore Convegno Fibromialgia e malattie ambientali: il ruolo dell’epigenetica, Cagliari</w:t>
            </w:r>
          </w:p>
          <w:p>
            <w:pPr>
              <w:pStyle w:val="Paragrafoelenco"/>
              <w:rPr>
                <w:rFonts w:ascii="Times New Roman" w:hAnsi="Times New Roman" w:eastAsia="Times New Roman" w:cs="Times New Roman"/>
                <w:color w:val="000000"/>
                <w:sz w:val="22"/>
                <w:szCs w:val="22"/>
                <w:lang w:eastAsia="it-IT"/>
              </w:rPr>
            </w:pPr>
            <w:r>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2024 – 1° Relatore per l’Associazione per la Tutela dell’Identità Ogliastrina e della Barbagia di Seulo I.O.B.S. : Convegno Innovazione e Ricerca sulla Longevità: Il Nuovo Polo di Ricerca Scientifica e della Salute - Poligono Interforze di Quirra Aeronautica Militare – Perdasdefogu</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2024 – Relatore: Il “Seme” del Sele, 10 anni di Ricerca del Progetto EcoFoodFertility Dalla Crisi Riproduttiva alla Re- silienza: Un modello “One Health” per il Benessere Globale del Territorio, nel segno della sostenibilità, dello Stile di Vita e del turismo scientifico, Olivetocitra (SA)</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 xml:space="preserve">2023 – 1° Relatore Convegno "Cent'anni insieme” Giornate di turismo esperienziale tra i segreti della longevità, Perdasdefogu  </w:t>
            </w:r>
            <w:r>
              <w:rPr>
                <w:rFonts w:eastAsia="Times New Roman" w:cs="Times New Roman" w:ascii="Times New Roman" w:hAnsi="Times New Roman"/>
                <w:i/>
                <w:color w:val="000000"/>
                <w:sz w:val="22"/>
                <w:szCs w:val="22"/>
                <w:lang w:eastAsia="it-IT"/>
              </w:rPr>
              <w:t>Ogliastra: Eventi Assessorato del Turismo della RAS</w:t>
            </w:r>
          </w:p>
          <w:p>
            <w:pPr>
              <w:pStyle w:val="Normal"/>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2023 - Congresso Spazio Nutrizione, Milano (poster digitale scientifico)</w:t>
            </w:r>
          </w:p>
          <w:p>
            <w:pPr>
              <w:pStyle w:val="Paragrafoelenco"/>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Normal"/>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Normal"/>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2023 – 1° Relatore Convegno - Conoscere la longevità attraverso il turismo sostenibile: valorizzazione delle culture locali e innovazione digitale al servizio della salute -  Perdasdefogu</w:t>
            </w:r>
          </w:p>
          <w:p>
            <w:pPr>
              <w:pStyle w:val="Normal"/>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2023 – Ruolo di mentore e progettista per il Concorso Start Up del futuro Magie d’Inverno, Nuoro</w:t>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3° Classificato: Progetto di “Bio banca LWER (Longevity, Wellness, Epigenetic, Research)” costituita da fattori epigenetici di popolazione elaborati da Intelligenza Artificiale</w:t>
            </w:r>
          </w:p>
          <w:p>
            <w:pPr>
              <w:pStyle w:val="Normal"/>
              <w:ind w:firstLine="45"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p>
            <w:pPr>
              <w:pStyle w:val="Paragrafoelenco"/>
              <w:numPr>
                <w:ilvl w:val="0"/>
                <w:numId w:val="4"/>
              </w:numPr>
              <w:ind w:hanging="360" w:left="720" w:right="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t>2023 – Relatore Previdenza in tour: A scuola di vita dai centenari per una Longevità in salute, Cagliari ENPAB</w:t>
            </w:r>
          </w:p>
          <w:p>
            <w:pPr>
              <w:pStyle w:val="Normal"/>
              <w:spacing w:before="0" w:after="0"/>
              <w:rPr>
                <w:rFonts w:ascii="Times New Roman" w:hAnsi="Times New Roman" w:eastAsia="Times New Roman" w:cs="Times New Roman"/>
                <w:color w:val="000000"/>
                <w:sz w:val="22"/>
                <w:szCs w:val="22"/>
                <w:lang w:eastAsia="it-IT"/>
              </w:rPr>
            </w:pPr>
            <w:r>
              <w:rPr>
                <w:rFonts w:eastAsia="Times New Roman" w:cs="Times New Roman" w:ascii="Times New Roman" w:hAnsi="Times New Roman"/>
                <w:color w:val="000000"/>
                <w:sz w:val="22"/>
                <w:szCs w:val="22"/>
                <w:lang w:eastAsia="it-IT"/>
              </w:rPr>
            </w:r>
          </w:p>
        </w:tc>
      </w:tr>
    </w:tbl>
    <w:p>
      <w:pPr>
        <w:pStyle w:val="Normal"/>
        <w:rPr>
          <w:sz w:val="8"/>
          <w:szCs w:val="8"/>
        </w:rPr>
      </w:pPr>
      <w:r>
        <w:rPr>
          <w:sz w:val="8"/>
          <w:szCs w:val="8"/>
        </w:rPr>
      </w:r>
    </w:p>
    <w:p>
      <w:pPr>
        <w:pStyle w:val="Normal"/>
        <w:rPr>
          <w:sz w:val="8"/>
          <w:szCs w:val="8"/>
        </w:rPr>
      </w:pPr>
      <w:r>
        <w:rPr>
          <w:sz w:val="8"/>
          <w:szCs w:val="8"/>
        </w:rPr>
      </w:r>
    </w:p>
    <w:tbl>
      <w:tblPr>
        <w:tblpPr w:vertAnchor="text" w:horzAnchor="margin" w:tblpXSpec="left" w:bottomFromText="170" w:topFromText="6" w:tblpY="-68"/>
        <w:tblOverlap w:val="never"/>
        <w:tblW w:w="5000" w:type="pct"/>
        <w:jc w:val="left"/>
        <w:tblInd w:w="0" w:type="dxa"/>
        <w:tblLayout w:type="fixed"/>
        <w:tblCellMar>
          <w:top w:w="0" w:type="dxa"/>
          <w:left w:w="0" w:type="dxa"/>
          <w:bottom w:w="0" w:type="dxa"/>
          <w:right w:w="0" w:type="dxa"/>
        </w:tblCellMar>
      </w:tblPr>
      <w:tblGrid>
        <w:gridCol w:w="2833"/>
        <w:gridCol w:w="7542"/>
      </w:tblGrid>
      <w:tr>
        <w:trPr>
          <w:trHeight w:val="170" w:hRule="atLeast"/>
        </w:trPr>
        <w:tc>
          <w:tcPr>
            <w:tcW w:w="2833" w:type="dxa"/>
            <w:tcBorders/>
          </w:tcPr>
          <w:p>
            <w:pPr>
              <w:pStyle w:val="ECVLeftDetails"/>
              <w:spacing w:before="23" w:after="0"/>
              <w:rPr/>
            </w:pPr>
            <w:r>
              <w:rPr>
                <w:rFonts w:eastAsia="Arial" w:cs="Arial"/>
              </w:rPr>
              <w:t xml:space="preserve">                         </w:t>
            </w:r>
            <w:r>
              <w:rPr>
                <w:rFonts w:eastAsia="Arial" w:cs="Arial"/>
                <w:b/>
              </w:rPr>
              <w:t xml:space="preserve">  </w:t>
            </w:r>
            <w:r>
              <w:rPr>
                <w:b/>
              </w:rPr>
              <w:t>COMPETENZE     ORGANIZZATIVE</w:t>
            </w:r>
          </w:p>
        </w:tc>
        <w:tc>
          <w:tcPr>
            <w:tcW w:w="7542" w:type="dxa"/>
            <w:tcBorders/>
          </w:tcPr>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t>Organizzazione e gestione di:</w:t>
            </w:r>
          </w:p>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Paragrafoelenco"/>
              <w:numPr>
                <w:ilvl w:val="0"/>
                <w:numId w:val="5"/>
              </w:numPr>
              <w:ind w:hanging="360" w:left="720" w:right="0"/>
              <w:rPr>
                <w:rFonts w:ascii="Times New Roman" w:hAnsi="Times New Roman" w:cs="Times New Roman"/>
                <w:color w:val="000000"/>
                <w:sz w:val="22"/>
                <w:szCs w:val="22"/>
              </w:rPr>
            </w:pPr>
            <w:r>
              <w:rPr>
                <w:rFonts w:cs="Times New Roman" w:ascii="Times New Roman" w:hAnsi="Times New Roman"/>
                <w:color w:val="000000"/>
                <w:sz w:val="22"/>
                <w:szCs w:val="22"/>
              </w:rPr>
              <w:t>Ricerca sperimentale sugli amniociti presso il laboratorio LIFEAMNIOS per lo sviluppo del brevetto europeo WO 2017/085749 AI</w:t>
            </w:r>
          </w:p>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Paragrafoelenco"/>
              <w:numPr>
                <w:ilvl w:val="0"/>
                <w:numId w:val="5"/>
              </w:numPr>
              <w:ind w:hanging="360" w:left="720" w:right="0"/>
              <w:rPr>
                <w:rFonts w:ascii="Times New Roman" w:hAnsi="Times New Roman" w:cs="Times New Roman"/>
                <w:color w:val="000000"/>
                <w:sz w:val="22"/>
                <w:szCs w:val="22"/>
              </w:rPr>
            </w:pPr>
            <w:r>
              <w:rPr>
                <w:rFonts w:cs="Times New Roman" w:ascii="Times New Roman" w:hAnsi="Times New Roman"/>
                <w:color w:val="000000"/>
                <w:sz w:val="22"/>
                <w:szCs w:val="22"/>
              </w:rPr>
              <w:t>Spin off  PHARECO dell’Università degli Studi di Sassari: laboratorio sperimentale per produzione prototipi, stesura pubblicazioni, supervisione dottorandi, allestimento tesi di laurea</w:t>
            </w:r>
          </w:p>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Paragrafoelenco"/>
              <w:numPr>
                <w:ilvl w:val="0"/>
                <w:numId w:val="5"/>
              </w:numPr>
              <w:ind w:hanging="360" w:left="720" w:right="0"/>
              <w:rPr>
                <w:rFonts w:ascii="Times New Roman" w:hAnsi="Times New Roman" w:cs="Times New Roman"/>
                <w:color w:val="000000"/>
                <w:sz w:val="22"/>
                <w:szCs w:val="22"/>
              </w:rPr>
            </w:pPr>
            <w:r>
              <w:rPr>
                <w:rFonts w:cs="Times New Roman" w:ascii="Times New Roman" w:hAnsi="Times New Roman"/>
                <w:color w:val="000000"/>
                <w:sz w:val="22"/>
                <w:szCs w:val="22"/>
              </w:rPr>
              <w:t>Organizzazione del Polo di Ricerca e della Salute presso Poligono Interforze di Perdasdefogu: allestimento dei laboratori dedicati allo studio dei longevi d’Ogliastra e di Sardegna ed organizzazione di incontri dedicati con il personale militare ed i cittadini, per la tutela del territorio e dell’ambiente</w:t>
            </w:r>
          </w:p>
          <w:p>
            <w:pPr>
              <w:pStyle w:val="Normal"/>
              <w:rPr>
                <w:rFonts w:ascii="Times New Roman" w:hAnsi="Times New Roman" w:cs="Times New Roman"/>
                <w:color w:val="000000"/>
                <w:sz w:val="22"/>
                <w:szCs w:val="22"/>
              </w:rPr>
            </w:pPr>
            <w:r>
              <w:rPr>
                <w:rFonts w:cs="Times New Roman" w:ascii="Times New Roman" w:hAnsi="Times New Roman"/>
                <w:color w:val="000000"/>
                <w:sz w:val="22"/>
                <w:szCs w:val="22"/>
              </w:rPr>
            </w:r>
          </w:p>
          <w:p>
            <w:pPr>
              <w:pStyle w:val="Paragrafoelenco"/>
              <w:numPr>
                <w:ilvl w:val="0"/>
                <w:numId w:val="5"/>
              </w:numPr>
              <w:ind w:hanging="360" w:left="720" w:right="0"/>
              <w:rPr>
                <w:rFonts w:ascii="Times New Roman" w:hAnsi="Times New Roman" w:cs="Times New Roman"/>
                <w:color w:val="000000"/>
                <w:sz w:val="22"/>
                <w:szCs w:val="22"/>
              </w:rPr>
            </w:pPr>
            <w:r>
              <w:rPr>
                <w:rFonts w:cs="Times New Roman" w:ascii="Times New Roman" w:hAnsi="Times New Roman"/>
                <w:color w:val="000000"/>
                <w:sz w:val="22"/>
                <w:szCs w:val="22"/>
              </w:rPr>
              <w:t>Applicazione dell’Intelligenza artificiale SDRIVE al fine di monitorare salute ed ambiente in Sardegna:  tests epigenetici in soggetti sani, longevi, atleti, giovani e soggetti affetti da fibromialgia ed altre patologie metaboliche.</w:t>
            </w:r>
          </w:p>
          <w:p>
            <w:pPr>
              <w:pStyle w:val="ECVSectionBullet"/>
              <w:ind w:left="113" w:right="0"/>
              <w:rPr>
                <w:rFonts w:ascii="Times New Roman" w:hAnsi="Times New Roman" w:cs="Times New Roman"/>
                <w:color w:val="000000"/>
                <w:sz w:val="22"/>
                <w:szCs w:val="22"/>
              </w:rPr>
            </w:pPr>
            <w:r>
              <w:rPr>
                <w:rFonts w:cs="Times New Roman" w:ascii="Times New Roman" w:hAnsi="Times New Roman"/>
                <w:color w:val="000000"/>
                <w:sz w:val="22"/>
                <w:szCs w:val="22"/>
              </w:rPr>
            </w:r>
          </w:p>
        </w:tc>
      </w:tr>
    </w:tbl>
    <w:p>
      <w:pPr>
        <w:pStyle w:val="Normal"/>
        <w:rPr>
          <w:color w:val="000000"/>
        </w:rPr>
      </w:pPr>
      <w:r>
        <w:rPr>
          <w:color w:val="000000"/>
        </w:rPr>
      </w:r>
    </w:p>
    <w:p>
      <w:pPr>
        <w:pStyle w:val="Normal"/>
        <w:rPr>
          <w:i/>
          <w:i/>
          <w:color w:val="FF0000"/>
        </w:rPr>
      </w:pPr>
      <w:r>
        <w:rPr>
          <w:rFonts w:eastAsia="Arial" w:cs="Arial"/>
          <w:color w:val="000000"/>
        </w:rPr>
        <w:t xml:space="preserve">                                                    </w:t>
      </w:r>
      <w:r>
        <w:rPr>
          <w:color w:val="000000"/>
        </w:rPr>
        <w:t>Sassari lì  30/09/2026</w:t>
        <w:tab/>
        <w:tab/>
        <w:tab/>
        <w:tab/>
      </w:r>
      <w:r>
        <w:rPr>
          <w:sz w:val="22"/>
        </w:rPr>
        <w:t xml:space="preserve">Grazia Fenu Pintori </w:t>
      </w:r>
    </w:p>
    <w:tbl>
      <w:tblPr>
        <w:tblpPr w:vertAnchor="text" w:horzAnchor="margin" w:tblpXSpec="left" w:bottomFromText="170" w:topFromText="6" w:tblpY="219"/>
        <w:tblW w:w="5000" w:type="pct"/>
        <w:jc w:val="left"/>
        <w:tblInd w:w="0" w:type="dxa"/>
        <w:tblLayout w:type="fixed"/>
        <w:tblCellMar>
          <w:top w:w="0" w:type="dxa"/>
          <w:left w:w="0" w:type="dxa"/>
          <w:bottom w:w="0" w:type="dxa"/>
          <w:right w:w="0" w:type="dxa"/>
        </w:tblCellMar>
      </w:tblPr>
      <w:tblGrid>
        <w:gridCol w:w="2833"/>
        <w:gridCol w:w="7542"/>
      </w:tblGrid>
      <w:tr>
        <w:trPr>
          <w:trHeight w:val="170" w:hRule="atLeast"/>
        </w:trPr>
        <w:tc>
          <w:tcPr>
            <w:tcW w:w="2833" w:type="dxa"/>
            <w:tcBorders/>
          </w:tcPr>
          <w:p>
            <w:pPr>
              <w:pStyle w:val="ECVLeftDetails"/>
              <w:spacing w:before="23" w:after="0"/>
              <w:rPr>
                <w:b/>
                <w:color w:val="244061"/>
              </w:rPr>
            </w:pPr>
            <w:r>
              <w:rPr>
                <w:b/>
                <w:color w:val="244061"/>
              </w:rPr>
              <w:t>DATI PERSONALI</w:t>
            </w:r>
          </w:p>
        </w:tc>
        <w:tc>
          <w:tcPr>
            <w:tcW w:w="7542" w:type="dxa"/>
            <w:tcBorders/>
          </w:tcPr>
          <w:p>
            <w:pPr>
              <w:pStyle w:val="ECVSectionDetails"/>
              <w:spacing w:before="28" w:after="0"/>
              <w:rPr>
                <w:sz w:val="8"/>
                <w:szCs w:val="8"/>
              </w:rPr>
            </w:pPr>
            <w:r>
              <w:rPr>
                <w:b/>
              </w:rPr>
              <w:t>Autorizzo il trattamento dei miei dati personali ai sensi del Decreto Legislativo 30 giugno 2003, n. 196 "Codice in materia di protezione dei dati personali</w:t>
            </w:r>
            <w:r>
              <w:rPr/>
              <w:t>”.</w:t>
            </w:r>
          </w:p>
        </w:tc>
      </w:tr>
    </w:tbl>
    <w:p>
      <w:pPr>
        <w:pStyle w:val="Normal"/>
        <w:rPr/>
      </w:pPr>
      <w:r>
        <w:rPr/>
      </w:r>
    </w:p>
    <w:sectPr>
      <w:headerReference w:type="even" r:id="rId6"/>
      <w:headerReference w:type="default" r:id="rId7"/>
      <w:footerReference w:type="even" r:id="rId8"/>
      <w:footerReference w:type="default" r:id="rId9"/>
      <w:type w:val="nextPage"/>
      <w:pgSz w:w="11906" w:h="16838"/>
      <w:pgMar w:left="850" w:right="680" w:gutter="0" w:header="850" w:top="1644" w:footer="521" w:bottom="158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mbria">
    <w:charset w:val="00"/>
    <w:family w:val="roman"/>
    <w:pitch w:val="variable"/>
  </w:font>
  <w:font w:name="Segoe UI">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Georgia">
    <w:charset w:val="00"/>
    <w:family w:val="roman"/>
    <w:pitch w:val="variable"/>
  </w:font>
  <w:font w:name="Tahoma">
    <w:charset w:val="00"/>
    <w:family w:val="roman"/>
    <w:pitch w:val="variable"/>
  </w:font>
  <w:font w:name="Calibri">
    <w:charset w:val="00"/>
    <w:family w:val="roman"/>
    <w:pitch w:val="variable"/>
  </w:font>
  <w:font w:name="ArialMT">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709"/>
        <w:tab w:val="left" w:pos="2835" w:leader="none"/>
        <w:tab w:val="right" w:pos="10375" w:leader="none"/>
      </w:tabs>
      <w:rPr/>
    </w:pPr>
    <w:r>
      <w:rPr>
        <w:rFonts w:eastAsia="ArialMT;Arial" w:cs="ArialMT;Arial" w:ascii="ArialMT;Arial" w:hAnsi="ArialMT;Arial"/>
        <w:color w:val="26B4EA"/>
        <w:sz w:val="14"/>
        <w:szCs w:val="14"/>
      </w:rPr>
      <w:tab/>
      <w:t xml:space="preserve"> </w:t>
    </w:r>
    <w:r>
      <w:rPr>
        <w:rFonts w:eastAsia="ArialMT;Arial" w:cs="ArialMT;Arial" w:ascii="ArialMT;Arial" w:hAnsi="ArialMT;Arial"/>
        <w:sz w:val="14"/>
        <w:szCs w:val="14"/>
      </w:rPr>
      <w:t xml:space="preserve">© Unione europea, 2002-2018 | europass.cedefop.europa.eu </w:t>
      <w:tab/>
      <w:t>Pagina</w:t>
    </w:r>
    <w:r>
      <w:rPr>
        <w:rFonts w:eastAsia="ArialMT;Arial" w:cs="ArialMT;Arial" w:ascii="ArialMT;Arial" w:hAnsi="ArialMT;Arial"/>
        <w:color w:val="26B4EA"/>
        <w:sz w:val="14"/>
        <w:szCs w:val="14"/>
      </w:rPr>
      <w:t xml:space="preserve"> </w:t>
    </w:r>
    <w:r>
      <w:rPr>
        <w:rFonts w:eastAsia="ArialMT;Arial" w:cs="ArialMT;Arial"/>
        <w:sz w:val="14"/>
        <w:szCs w:val="14"/>
      </w:rPr>
      <w:fldChar w:fldCharType="begin"/>
    </w:r>
    <w:r>
      <w:rPr>
        <w:sz w:val="14"/>
        <w:szCs w:val="14"/>
        <w:rFonts w:eastAsia="ArialMT;Arial" w:cs="ArialMT;Arial"/>
      </w:rPr>
      <w:instrText xml:space="preserve"> PAGE </w:instrText>
    </w:r>
    <w:r>
      <w:rPr>
        <w:sz w:val="14"/>
        <w:szCs w:val="14"/>
        <w:rFonts w:eastAsia="ArialMT;Arial" w:cs="ArialMT;Arial"/>
      </w:rPr>
      <w:fldChar w:fldCharType="separate"/>
    </w:r>
    <w:r>
      <w:rPr>
        <w:sz w:val="14"/>
        <w:szCs w:val="14"/>
        <w:rFonts w:eastAsia="ArialMT;Arial" w:cs="ArialMT;Arial"/>
      </w:rPr>
      <w:t>10</w:t>
    </w:r>
    <w:r>
      <w:rPr>
        <w:sz w:val="14"/>
        <w:szCs w:val="14"/>
        <w:rFonts w:eastAsia="ArialMT;Arial" w:cs="ArialMT;Arial"/>
      </w:rPr>
      <w:fldChar w:fldCharType="end"/>
    </w:r>
    <w:r>
      <w:rPr>
        <w:rFonts w:eastAsia="ArialMT;Arial" w:cs="ArialMT;Arial" w:ascii="ArialMT;Arial" w:hAnsi="ArialMT;Arial"/>
        <w:sz w:val="14"/>
        <w:szCs w:val="14"/>
      </w:rPr>
      <w:t xml:space="preserve"> / </w:t>
    </w:r>
    <w:r>
      <w:rPr>
        <w:rFonts w:eastAsia="ArialMT;Arial" w:cs="ArialMT;Arial"/>
        <w:sz w:val="14"/>
        <w:szCs w:val="14"/>
      </w:rPr>
      <w:fldChar w:fldCharType="begin"/>
    </w:r>
    <w:r>
      <w:rPr>
        <w:sz w:val="14"/>
        <w:szCs w:val="14"/>
        <w:rFonts w:eastAsia="ArialMT;Arial" w:cs="ArialMT;Arial"/>
      </w:rPr>
      <w:instrText xml:space="preserve"> NUMPAGES </w:instrText>
    </w:r>
    <w:r>
      <w:rPr>
        <w:sz w:val="14"/>
        <w:szCs w:val="14"/>
        <w:rFonts w:eastAsia="ArialMT;Arial" w:cs="ArialMT;Arial"/>
      </w:rPr>
      <w:fldChar w:fldCharType="separate"/>
    </w:r>
    <w:r>
      <w:rPr>
        <w:sz w:val="14"/>
        <w:szCs w:val="14"/>
        <w:rFonts w:eastAsia="ArialMT;Arial" w:cs="ArialMT;Arial"/>
      </w:rPr>
      <w:t>10</w:t>
    </w:r>
    <w:r>
      <w:rPr>
        <w:sz w:val="14"/>
        <w:szCs w:val="14"/>
        <w:rFonts w:eastAsia="ArialMT;Arial" w:cs="ArialMT;Arial"/>
      </w:rPr>
      <w:fldChar w:fldCharType="end"/>
    </w:r>
    <w:r>
      <w:rPr>
        <w:rFonts w:eastAsia="ArialMT;Arial" w:cs="ArialMT;Arial" w:ascii="ArialMT;Arial" w:hAnsi="ArialMT;Arial"/>
        <w:color w:val="26B4EA"/>
        <w:sz w:val="14"/>
        <w:szCs w:val="14"/>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color w:val="000000"/>
      </w:rPr>
      <w:t xml:space="preserve">Il presente </w:t>
    </w:r>
    <w:r>
      <w:rPr>
        <w:i/>
        <w:color w:val="000000"/>
      </w:rPr>
      <w:t>curriculum vitae</w:t>
    </w:r>
    <w:r>
      <w:rPr>
        <w:color w:val="000000"/>
      </w:rPr>
      <w:t xml:space="preserve">, è redatto ai fini della pubblicazione nella Sezione “Amministrazione trasparente” del sito web istituzionale dell’Ateneo al fine di garantire il rispetto della vigente normativa in materia di tutela dei dati. Il C.V. in versione integrale è conservato presso gli Uffici della Struttura che ha conferito l’incarico. </w:t>
    </w:r>
  </w:p>
  <w:p>
    <w:pPr>
      <w:pStyle w:val="Footer"/>
      <w:rPr>
        <w:color w:val="000000"/>
      </w:rPr>
    </w:pPr>
    <w:r>
      <w:rPr>
        <w:color w:val="000000"/>
      </w:rPr>
    </w:r>
  </w:p>
  <w:p>
    <w:pPr>
      <w:pStyle w:val="Footer"/>
      <w:tabs>
        <w:tab w:val="clear" w:pos="709"/>
        <w:tab w:val="left" w:pos="2835" w:leader="none"/>
        <w:tab w:val="right" w:pos="10375" w:leader="none"/>
      </w:tabs>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CVCurriculumVitaeNextPages"/>
      <w:spacing w:before="153" w:after="0"/>
      <w:jc w:val="right"/>
      <w:rPr/>
    </w:pPr>
    <w:r>
      <w:drawing>
        <wp:anchor behindDoc="1" distT="0" distB="0" distL="0" distR="0" simplePos="0" locked="0" layoutInCell="0" allowOverlap="1" relativeHeight="12">
          <wp:simplePos x="0" y="0"/>
          <wp:positionH relativeFrom="column">
            <wp:posOffset>0</wp:posOffset>
          </wp:positionH>
          <wp:positionV relativeFrom="paragraph">
            <wp:posOffset>635</wp:posOffset>
          </wp:positionV>
          <wp:extent cx="993140" cy="287655"/>
          <wp:effectExtent l="0" t="0" r="0" b="0"/>
          <wp:wrapSquare wrapText="bothSides"/>
          <wp:docPr id="3"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
                  <pic:cNvPicPr>
                    <a:picLocks noChangeAspect="1" noChangeArrowheads="1"/>
                  </pic:cNvPicPr>
                </pic:nvPicPr>
                <pic:blipFill>
                  <a:blip r:embed="rId1"/>
                  <a:srcRect l="-63" t="-223" r="-63" b="-223"/>
                  <a:stretch>
                    <a:fillRect/>
                  </a:stretch>
                </pic:blipFill>
                <pic:spPr bwMode="auto">
                  <a:xfrm>
                    <a:off x="0" y="0"/>
                    <a:ext cx="993140" cy="287655"/>
                  </a:xfrm>
                  <a:prstGeom prst="rect">
                    <a:avLst/>
                  </a:prstGeom>
                </pic:spPr>
              </pic:pic>
            </a:graphicData>
          </a:graphic>
        </wp:anchor>
      </w:drawing>
    </w:r>
    <w:r>
      <w:rPr>
        <w:rFonts w:eastAsia="Arial" w:cs="Arial"/>
      </w:rPr>
      <w:t xml:space="preserve"> </w:t>
    </w:r>
    <w:r>
      <w:rPr/>
      <w:tab/>
    </w:r>
    <w:r>
      <w:rPr>
        <w:szCs w:val="20"/>
      </w:rPr>
      <w:tab/>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CVCurriculumVitaeNextPages"/>
      <w:spacing w:before="153" w:after="0"/>
      <w:jc w:val="right"/>
      <w:rPr/>
    </w:pPr>
    <w:r>
      <w:drawing>
        <wp:anchor behindDoc="1" distT="0" distB="0" distL="0" distR="0" simplePos="0" locked="0" layoutInCell="0" allowOverlap="1" relativeHeight="7">
          <wp:simplePos x="0" y="0"/>
          <wp:positionH relativeFrom="column">
            <wp:posOffset>0</wp:posOffset>
          </wp:positionH>
          <wp:positionV relativeFrom="paragraph">
            <wp:posOffset>635</wp:posOffset>
          </wp:positionV>
          <wp:extent cx="993140" cy="287655"/>
          <wp:effectExtent l="0" t="0" r="0" b="0"/>
          <wp:wrapSquare wrapText="bothSides"/>
          <wp:docPr id="4" name="Immagin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 descr=""/>
                  <pic:cNvPicPr>
                    <a:picLocks noChangeAspect="1" noChangeArrowheads="1"/>
                  </pic:cNvPicPr>
                </pic:nvPicPr>
                <pic:blipFill>
                  <a:blip r:embed="rId1"/>
                  <a:srcRect l="-63" t="-223" r="-63" b="-223"/>
                  <a:stretch>
                    <a:fillRect/>
                  </a:stretch>
                </pic:blipFill>
                <pic:spPr bwMode="auto">
                  <a:xfrm>
                    <a:off x="0" y="0"/>
                    <a:ext cx="993140" cy="287655"/>
                  </a:xfrm>
                  <a:prstGeom prst="rect">
                    <a:avLst/>
                  </a:prstGeom>
                </pic:spPr>
              </pic:pic>
            </a:graphicData>
          </a:graphic>
        </wp:anchor>
      </w:drawing>
    </w:r>
    <w:r>
      <w:rPr>
        <w:rFonts w:eastAsia="Arial" w:cs="Arial"/>
      </w:rPr>
      <w:t xml:space="preserve"> </w:t>
    </w:r>
    <w:r>
      <w:rPr/>
      <w:tab/>
    </w:r>
    <w:r>
      <w:rPr>
        <w:szCs w:val="20"/>
      </w:rPr>
      <w:tab/>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2">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576" w:hanging="576"/>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09"/>
  <w:autoHyphenation w:val="true"/>
  <w:evenAndOddHeaders/>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Arial" w:hAnsi="Arial" w:eastAsia="SimSun;宋体" w:cs="Mangal;Liberation Mono"/>
      <w:color w:val="3F3A38"/>
      <w:spacing w:val="-6"/>
      <w:kern w:val="2"/>
      <w:sz w:val="16"/>
      <w:szCs w:val="24"/>
      <w:lang w:val="it-IT" w:eastAsia="zh-CN" w:bidi="hi-IN"/>
    </w:rPr>
  </w:style>
  <w:style w:type="paragraph" w:styleId="Heading1">
    <w:name w:val="Heading 1"/>
    <w:basedOn w:val="Titolo"/>
    <w:next w:val="BodyText"/>
    <w:qFormat/>
    <w:pPr>
      <w:outlineLvl w:val="0"/>
    </w:pPr>
    <w:rPr>
      <w:b/>
      <w:bCs/>
      <w:sz w:val="32"/>
      <w:szCs w:val="32"/>
    </w:rPr>
  </w:style>
  <w:style w:type="paragraph" w:styleId="Heading2">
    <w:name w:val="Heading 2"/>
    <w:basedOn w:val="Titolo"/>
    <w:next w:val="BodyText"/>
    <w:qFormat/>
    <w:pPr>
      <w:numPr>
        <w:ilvl w:val="1"/>
        <w:numId w:val="1"/>
      </w:numPr>
      <w:outlineLvl w:val="1"/>
    </w:pPr>
    <w:rPr>
      <w:b/>
      <w:bCs/>
      <w:i/>
      <w:iCs/>
    </w:rPr>
  </w:style>
  <w:style w:type="paragraph" w:styleId="Heading3">
    <w:name w:val="Heading 3"/>
    <w:basedOn w:val="Normal"/>
    <w:next w:val="Normal"/>
    <w:qFormat/>
    <w:pPr>
      <w:keepNext w:val="true"/>
      <w:spacing w:before="240" w:after="60"/>
      <w:outlineLvl w:val="2"/>
    </w:pPr>
    <w:rPr>
      <w:rFonts w:ascii="Cambria" w:hAnsi="Cambria" w:eastAsia="Times New Roman" w:cs="Cambria"/>
      <w:b/>
      <w:bCs/>
      <w:sz w:val="26"/>
      <w:szCs w:val="23"/>
    </w:rPr>
  </w:style>
  <w:style w:type="character" w:styleId="WW8Num2z0">
    <w:name w:val="WW8Num2z0"/>
    <w:qFormat/>
    <w:rPr>
      <w:rFonts w:ascii="Segoe UI" w:hAnsi="Segoe UI" w:cs="OpenSymbol"/>
    </w:rPr>
  </w:style>
  <w:style w:type="character" w:styleId="WW8Num2z2">
    <w:name w:val="WW8Num2z2"/>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Carpredefinitoparagrafo">
    <w:name w:val="Car. predefinito paragrafo"/>
    <w:qFormat/>
    <w:rPr/>
  </w:style>
  <w:style w:type="character" w:styleId="ECVHeadingContactDetails">
    <w:name w:val="_ECV_HeadingContactDetails"/>
    <w:qFormat/>
    <w:rPr>
      <w:rFonts w:ascii="Arial" w:hAnsi="Arial" w:cs="Arial"/>
      <w:color w:val="1593CB"/>
      <w:sz w:val="18"/>
      <w:szCs w:val="18"/>
      <w:shd w:fill="auto" w:val="clear"/>
    </w:rPr>
  </w:style>
  <w:style w:type="character" w:styleId="ECVContactDetails">
    <w:name w:val="_ECV_ContactDetails"/>
    <w:qFormat/>
    <w:rPr>
      <w:rFonts w:ascii="Arial" w:hAnsi="Arial" w:cs="Arial"/>
      <w:color w:val="3F3A38"/>
      <w:sz w:val="18"/>
      <w:szCs w:val="18"/>
      <w:shd w:fill="auto" w:val="clear"/>
    </w:rPr>
  </w:style>
  <w:style w:type="character" w:styleId="Caratteridinumerazione">
    <w:name w:val="Caratteri di numerazione"/>
    <w:qFormat/>
    <w:rPr/>
  </w:style>
  <w:style w:type="character" w:styleId="Bullets">
    <w:name w:val="Bullets"/>
    <w:qFormat/>
    <w:rPr>
      <w:rFonts w:ascii="OpenSymbol" w:hAnsi="OpenSymbol" w:eastAsia="OpenSymbol" w:cs="OpenSymbol"/>
    </w:rPr>
  </w:style>
  <w:style w:type="character" w:styleId="LineNumber">
    <w:name w:val="Line Number"/>
    <w:rPr/>
  </w:style>
  <w:style w:type="character" w:styleId="Hyperlink">
    <w:name w:val="Hyperlink"/>
    <w:rPr>
      <w:color w:val="000080"/>
      <w:u w:val="single"/>
    </w:rPr>
  </w:style>
  <w:style w:type="character" w:styleId="ECVInternetLink">
    <w:name w:val="_ECV_InternetLink"/>
    <w:qFormat/>
    <w:rPr>
      <w:rFonts w:ascii="Arial" w:hAnsi="Arial" w:cs="Arial"/>
      <w:color w:val="3F3A38"/>
      <w:sz w:val="18"/>
      <w:u w:val="single"/>
      <w:shd w:fill="auto" w:val="clear"/>
      <w:lang w:val="en-GB"/>
    </w:rPr>
  </w:style>
  <w:style w:type="character" w:styleId="ECVHeadingBusinessSector">
    <w:name w:val="_ECV_HeadingBusinessSector"/>
    <w:qFormat/>
    <w:rPr>
      <w:rFonts w:ascii="Arial" w:hAnsi="Arial" w:cs="Arial"/>
      <w:color w:val="1593CB"/>
      <w:spacing w:val="-6"/>
      <w:sz w:val="18"/>
      <w:szCs w:val="18"/>
      <w:shd w:fill="auto" w:val="clear"/>
    </w:rPr>
  </w:style>
  <w:style w:type="character" w:styleId="FollowedHyperlink">
    <w:name w:val="FollowedHyperlink"/>
    <w:rPr>
      <w:color w:val="800000"/>
      <w:u w:val="single"/>
    </w:rPr>
  </w:style>
  <w:style w:type="character" w:styleId="PidipaginaCarattere">
    <w:name w:val="Piè di pagina Carattere"/>
    <w:qFormat/>
    <w:rPr>
      <w:rFonts w:ascii="Arial" w:hAnsi="Arial" w:eastAsia="SimSun;宋体" w:cs="Mangal;Liberation Mono"/>
      <w:color w:val="1593CB"/>
      <w:spacing w:val="-6"/>
      <w:kern w:val="2"/>
      <w:sz w:val="16"/>
      <w:szCs w:val="24"/>
      <w:lang w:bidi="hi-IN"/>
    </w:rPr>
  </w:style>
  <w:style w:type="character" w:styleId="TitoloCarattere">
    <w:name w:val="Titolo Carattere"/>
    <w:qFormat/>
    <w:rPr>
      <w:rFonts w:ascii="Georgia" w:hAnsi="Georgia" w:cs="Georgia"/>
      <w:caps/>
      <w:color w:val="595959"/>
      <w:kern w:val="2"/>
      <w:sz w:val="70"/>
      <w:szCs w:val="56"/>
    </w:rPr>
  </w:style>
  <w:style w:type="character" w:styleId="Enfasiintensa">
    <w:name w:val="Enfasi intensa"/>
    <w:qFormat/>
    <w:rPr>
      <w:rFonts w:ascii="Georgia" w:hAnsi="Georgia" w:cs="Calibri"/>
      <w:b/>
      <w:iCs/>
      <w:color w:val="262626"/>
      <w:sz w:val="70"/>
    </w:rPr>
  </w:style>
  <w:style w:type="character" w:styleId="Titolo3Carattere">
    <w:name w:val="Titolo 3 Carattere"/>
    <w:qFormat/>
    <w:rPr>
      <w:rFonts w:ascii="Cambria" w:hAnsi="Cambria" w:eastAsia="Times New Roman" w:cs="Mangal;Liberation Mono"/>
      <w:b/>
      <w:bCs/>
      <w:color w:val="3F3A38"/>
      <w:spacing w:val="-6"/>
      <w:kern w:val="2"/>
      <w:sz w:val="26"/>
      <w:szCs w:val="23"/>
      <w:lang w:bidi="hi-IN"/>
    </w:rPr>
  </w:style>
  <w:style w:type="character" w:styleId="TestofumettoCarattere">
    <w:name w:val="Testo fumetto Carattere"/>
    <w:qFormat/>
    <w:rPr>
      <w:rFonts w:ascii="Tahoma" w:hAnsi="Tahoma" w:eastAsia="SimSun;宋体" w:cs="Mangal;Liberation Mono"/>
      <w:color w:val="3F3A38"/>
      <w:spacing w:val="-6"/>
      <w:kern w:val="2"/>
      <w:sz w:val="16"/>
      <w:szCs w:val="14"/>
      <w:lang w:bidi="hi-IN"/>
    </w:rPr>
  </w:style>
  <w:style w:type="character" w:styleId="Xgmaildefault">
    <w:name w:val="x_gmail_default"/>
    <w:basedOn w:val="Carpredefinitoparagrafo"/>
    <w:qFormat/>
    <w:rPr/>
  </w:style>
  <w:style w:type="paragraph" w:styleId="Titolo">
    <w:name w:val="Titolo"/>
    <w:basedOn w:val="Normal"/>
    <w:next w:val="BodyText"/>
    <w:qFormat/>
    <w:pPr>
      <w:keepNext w:val="true"/>
      <w:spacing w:before="240" w:after="120"/>
    </w:pPr>
    <w:rPr>
      <w:rFonts w:eastAsia="Microsoft YaHei"/>
      <w:sz w:val="28"/>
      <w:szCs w:val="28"/>
    </w:rPr>
  </w:style>
  <w:style w:type="paragraph" w:styleId="BodyText">
    <w:name w:val="Body Text"/>
    <w:basedOn w:val="Normal"/>
    <w:pPr>
      <w:spacing w:lineRule="atLeast" w:line="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rPr>
  </w:style>
  <w:style w:type="paragraph" w:styleId="Indice">
    <w:name w:val="Indice"/>
    <w:basedOn w:val="Normal"/>
    <w:qFormat/>
    <w:pPr>
      <w:suppressLineNumbers/>
    </w:pPr>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paragraph" w:styleId="ECVLeftHeading">
    <w:name w:val="_ECV_LeftHeading"/>
    <w:basedOn w:val="Contenutotabella"/>
    <w:qFormat/>
    <w:pPr>
      <w:ind w:hanging="0" w:left="0" w:right="283"/>
      <w:jc w:val="right"/>
    </w:pPr>
    <w:rPr>
      <w:caps/>
      <w:color w:val="0E4194"/>
      <w:sz w:val="18"/>
    </w:rPr>
  </w:style>
  <w:style w:type="paragraph" w:styleId="ECVMiddleColumn">
    <w:name w:val="_ECV_MiddleColumn"/>
    <w:basedOn w:val="Contenutotabella"/>
    <w:qFormat/>
    <w:pPr/>
    <w:rPr>
      <w:color w:val="404040"/>
      <w:sz w:val="20"/>
    </w:rPr>
  </w:style>
  <w:style w:type="paragraph" w:styleId="ECVRightColumn">
    <w:name w:val="_ECV_RightColumn"/>
    <w:basedOn w:val="Contenutotabella"/>
    <w:qFormat/>
    <w:pPr>
      <w:spacing w:before="62" w:after="0"/>
    </w:pPr>
    <w:rPr>
      <w:color w:val="404040"/>
    </w:rPr>
  </w:style>
  <w:style w:type="paragraph" w:styleId="ECVNameField">
    <w:name w:val="_ECV_NameField"/>
    <w:basedOn w:val="ECVRightColumn"/>
    <w:qFormat/>
    <w:pPr>
      <w:spacing w:lineRule="atLeast" w:line="100" w:before="0" w:after="0"/>
    </w:pPr>
    <w:rPr>
      <w:color w:val="3F3A38"/>
      <w:sz w:val="26"/>
      <w:szCs w:val="18"/>
    </w:rPr>
  </w:style>
  <w:style w:type="paragraph" w:styleId="ECVRightHeading">
    <w:name w:val="_ECV_RightHeading"/>
    <w:basedOn w:val="ECVNameField"/>
    <w:qFormat/>
    <w:pPr>
      <w:spacing w:before="62" w:after="0"/>
      <w:jc w:val="right"/>
    </w:pPr>
    <w:rPr>
      <w:color w:val="1593CB"/>
      <w:sz w:val="15"/>
    </w:rPr>
  </w:style>
  <w:style w:type="paragraph" w:styleId="ECV1stPage">
    <w:name w:val="_ECV_1stPage"/>
    <w:basedOn w:val="ECVRightHeading"/>
    <w:qFormat/>
    <w:pPr>
      <w:spacing w:before="215" w:after="0"/>
      <w:jc w:val="left"/>
    </w:pPr>
    <w:rPr>
      <w:sz w:val="20"/>
    </w:rPr>
  </w:style>
  <w:style w:type="paragraph" w:styleId="ECVContactDetails1">
    <w:name w:val="_ECV_ContactDetails1"/>
    <w:basedOn w:val="ECVNameField"/>
    <w:qFormat/>
    <w:pPr>
      <w:textAlignment w:val="center"/>
    </w:pPr>
    <w:rPr>
      <w:kern w:val="0"/>
      <w:sz w:val="18"/>
    </w:rPr>
  </w:style>
  <w:style w:type="paragraph" w:styleId="ECVText">
    <w:name w:val="_ECV_Text"/>
    <w:basedOn w:val="BodyText"/>
    <w:qFormat/>
    <w:pPr/>
    <w:rPr/>
  </w:style>
  <w:style w:type="paragraph" w:styleId="ECVComments">
    <w:name w:val="_ECV_Comments"/>
    <w:basedOn w:val="ECVText"/>
    <w:qFormat/>
    <w:pPr>
      <w:jc w:val="center"/>
    </w:pPr>
    <w:rPr>
      <w:color w:val="FF0000"/>
    </w:rPr>
  </w:style>
  <w:style w:type="paragraph" w:styleId="ECVNarrowSpacing">
    <w:name w:val="_ECV_NarrowSpacing"/>
    <w:basedOn w:val="ECVRightColumn"/>
    <w:qFormat/>
    <w:pPr/>
    <w:rPr>
      <w:color w:val="402C24"/>
      <w:sz w:val="8"/>
      <w:szCs w:val="10"/>
    </w:rPr>
  </w:style>
  <w:style w:type="paragraph" w:styleId="ECVSectionSpacing">
    <w:name w:val="_ECV_SectionSpacing"/>
    <w:basedOn w:val="ECVRightColumn"/>
    <w:qFormat/>
    <w:pPr/>
    <w:rPr/>
  </w:style>
  <w:style w:type="paragraph" w:styleId="Tabella">
    <w:name w:val="Tabella"/>
    <w:basedOn w:val="Caption"/>
    <w:qFormat/>
    <w:pPr/>
    <w:rPr/>
  </w:style>
  <w:style w:type="paragraph" w:styleId="ECVSubSectionHeading">
    <w:name w:val="_ECV_SubSectionHeading"/>
    <w:basedOn w:val="ECVRightColumn"/>
    <w:qFormat/>
    <w:pPr>
      <w:spacing w:lineRule="atLeast" w:line="100" w:before="0" w:after="0"/>
    </w:pPr>
    <w:rPr>
      <w:color w:val="0E4194"/>
      <w:sz w:val="22"/>
    </w:rPr>
  </w:style>
  <w:style w:type="paragraph" w:styleId="ECVOrganisationDetails">
    <w:name w:val="_ECV_OrganisationDetails"/>
    <w:basedOn w:val="ECVRightColumn"/>
    <w:qFormat/>
    <w:pPr>
      <w:spacing w:lineRule="atLeast" w:line="100" w:before="57" w:after="85"/>
    </w:pPr>
    <w:rPr>
      <w:rFonts w:eastAsia="ArialMT;Arial" w:cs="ArialMT;Arial"/>
      <w:color w:val="3F3A38"/>
      <w:sz w:val="18"/>
      <w:szCs w:val="18"/>
    </w:rPr>
  </w:style>
  <w:style w:type="paragraph" w:styleId="ECVSectionDetails">
    <w:name w:val="_ECV_SectionDetails"/>
    <w:basedOn w:val="Normal"/>
    <w:qFormat/>
    <w:pPr>
      <w:suppressLineNumbers/>
      <w:spacing w:lineRule="atLeast" w:line="100" w:before="28" w:after="0"/>
    </w:pPr>
    <w:rPr>
      <w:sz w:val="18"/>
    </w:rPr>
  </w:style>
  <w:style w:type="paragraph" w:styleId="ECVSectionBullet">
    <w:name w:val="_ECV_SectionBullet"/>
    <w:basedOn w:val="ECVSectionDetails"/>
    <w:qFormat/>
    <w:pPr>
      <w:spacing w:before="0" w:after="0"/>
    </w:pPr>
    <w:rPr/>
  </w:style>
  <w:style w:type="paragraph" w:styleId="ECVHeadingBullet">
    <w:name w:val="_ECV_HeadingBullet"/>
    <w:basedOn w:val="ECVLeftHeading"/>
    <w:qFormat/>
    <w:pPr>
      <w:numPr>
        <w:ilvl w:val="0"/>
        <w:numId w:val="2"/>
      </w:numPr>
      <w:spacing w:lineRule="atLeast" w:line="100"/>
      <w:outlineLvl w:val="0"/>
    </w:pPr>
    <w:rPr/>
  </w:style>
  <w:style w:type="paragraph" w:styleId="ECVLeftDetails">
    <w:name w:val="_ECV_LeftDetails"/>
    <w:basedOn w:val="ECVLeftHeading"/>
    <w:qFormat/>
    <w:pPr>
      <w:spacing w:before="23" w:after="0"/>
    </w:pPr>
    <w:rPr>
      <w:caps w:val="false"/>
      <w:smallCaps w:val="false"/>
    </w:rPr>
  </w:style>
  <w:style w:type="paragraph" w:styleId="ECVSubHeadingBullet">
    <w:name w:val="_ECV_SubHeadingBullet"/>
    <w:basedOn w:val="ECVLeftDetails"/>
    <w:qFormat/>
    <w:pPr>
      <w:spacing w:lineRule="atLeast" w:line="100" w:before="0" w:after="0"/>
    </w:pPr>
    <w:rPr/>
  </w:style>
  <w:style w:type="paragraph" w:styleId="CVMajor">
    <w:name w:val="CV Major"/>
    <w:basedOn w:val="Normal"/>
    <w:qFormat/>
    <w:pPr>
      <w:ind w:hanging="0" w:left="113" w:right="113"/>
    </w:pPr>
    <w:rPr>
      <w:b/>
      <w:sz w:val="24"/>
    </w:rPr>
  </w:style>
  <w:style w:type="paragraph" w:styleId="ECVDate">
    <w:name w:val="_ECV_Date"/>
    <w:basedOn w:val="ECVLeftHeading"/>
    <w:qFormat/>
    <w:pPr>
      <w:spacing w:lineRule="atLeast" w:line="100" w:before="28" w:after="0"/>
      <w:textAlignment w:val="top"/>
    </w:pPr>
    <w:rPr>
      <w:caps w:val="false"/>
      <w:smallCaps w:val="false"/>
    </w:rPr>
  </w:style>
  <w:style w:type="paragraph" w:styleId="CVHeading3">
    <w:name w:val="CV Heading 3"/>
    <w:basedOn w:val="Normal"/>
    <w:next w:val="Normal"/>
    <w:qFormat/>
    <w:pPr>
      <w:ind w:hanging="0" w:left="113" w:right="113"/>
      <w:jc w:val="right"/>
      <w:textAlignment w:val="center"/>
    </w:pPr>
    <w:rPr/>
  </w:style>
  <w:style w:type="paragraph" w:styleId="ECVHeadingLine">
    <w:name w:val="_ECV_HeadingLine"/>
    <w:basedOn w:val="ECVSubSectionHeading"/>
    <w:qFormat/>
    <w:pPr/>
    <w:rPr>
      <w:color w:val="17ACE6"/>
    </w:rPr>
  </w:style>
  <w:style w:type="paragraph" w:styleId="Intestazioneepidipagina">
    <w:name w:val="Intestazione e piè di pagina"/>
    <w:basedOn w:val="Normal"/>
    <w:qFormat/>
    <w:pPr>
      <w:suppressLineNumbers/>
      <w:tabs>
        <w:tab w:val="clear" w:pos="709"/>
        <w:tab w:val="center" w:pos="4819" w:leader="none"/>
        <w:tab w:val="right" w:pos="9638" w:leader="none"/>
      </w:tabs>
    </w:pPr>
    <w:rPr/>
  </w:style>
  <w:style w:type="paragraph" w:styleId="Header">
    <w:name w:val="Header"/>
    <w:basedOn w:val="Normal"/>
    <w:pPr>
      <w:suppressLineNumbers/>
    </w:pPr>
    <w:rPr/>
  </w:style>
  <w:style w:type="paragraph" w:styleId="ECVAttachment">
    <w:name w:val="_ECV_Attachment"/>
    <w:basedOn w:val="ECVSectionDetails"/>
    <w:qFormat/>
    <w:pPr>
      <w:jc w:val="right"/>
    </w:pPr>
    <w:rPr>
      <w:u w:val="single"/>
    </w:rPr>
  </w:style>
  <w:style w:type="paragraph" w:styleId="ECVHeaderFirstPage">
    <w:name w:val="_ECV_HeaderFirstPage"/>
    <w:basedOn w:val="Header"/>
    <w:qFormat/>
    <w:pPr>
      <w:spacing w:lineRule="atLeast" w:line="100"/>
    </w:pPr>
    <w:rPr>
      <w:color w:val="17ACE6"/>
      <w:sz w:val="20"/>
    </w:rPr>
  </w:style>
  <w:style w:type="paragraph" w:styleId="ECVHeaderOtherPage">
    <w:name w:val="_ECV_HeaderOtherPage"/>
    <w:basedOn w:val="ECVHeaderFirstPage"/>
    <w:qFormat/>
    <w:pPr/>
    <w:rPr/>
  </w:style>
  <w:style w:type="paragraph" w:styleId="Footer">
    <w:name w:val="Footer"/>
    <w:basedOn w:val="Normal"/>
    <w:pPr>
      <w:suppressLineNumbers/>
    </w:pPr>
    <w:rPr>
      <w:color w:val="1593CB"/>
      <w:lang w:val="it-IT"/>
    </w:rPr>
  </w:style>
  <w:style w:type="paragraph" w:styleId="ECVLanguageHeading">
    <w:name w:val="_ECV_LanguageHeading"/>
    <w:basedOn w:val="ECVRightColumn"/>
    <w:qFormat/>
    <w:pPr>
      <w:spacing w:before="0" w:after="0"/>
      <w:jc w:val="center"/>
    </w:pPr>
    <w:rPr>
      <w:caps/>
      <w:color w:val="0E4194"/>
      <w:sz w:val="14"/>
    </w:rPr>
  </w:style>
  <w:style w:type="paragraph" w:styleId="ECVLanguageSubHeading">
    <w:name w:val="_ECV_LanguageSubHeading"/>
    <w:basedOn w:val="ECVLanguageHeading"/>
    <w:qFormat/>
    <w:pPr>
      <w:spacing w:lineRule="atLeast" w:line="100"/>
    </w:pPr>
    <w:rPr>
      <w:caps w:val="false"/>
      <w:smallCaps w:val="false"/>
      <w:sz w:val="16"/>
    </w:rPr>
  </w:style>
  <w:style w:type="paragraph" w:styleId="ECVLanguageLevel">
    <w:name w:val="_ECV_LanguageLevel"/>
    <w:basedOn w:val="ECVSectionDetails"/>
    <w:qFormat/>
    <w:pPr>
      <w:jc w:val="center"/>
      <w:textAlignment w:val="center"/>
    </w:pPr>
    <w:rPr>
      <w:caps/>
    </w:rPr>
  </w:style>
  <w:style w:type="paragraph" w:styleId="ECVLanguageCertificate">
    <w:name w:val="_ECV_LanguageCertificate"/>
    <w:basedOn w:val="ECVRightColumn"/>
    <w:qFormat/>
    <w:pPr>
      <w:spacing w:lineRule="atLeast" w:line="100" w:before="0" w:after="0"/>
      <w:ind w:hanging="0" w:left="0" w:right="283"/>
      <w:jc w:val="center"/>
    </w:pPr>
    <w:rPr>
      <w:color w:val="3F3A38"/>
    </w:rPr>
  </w:style>
  <w:style w:type="paragraph" w:styleId="ECVLanguageExplanation">
    <w:name w:val="_ECV_LanguageExplanation"/>
    <w:basedOn w:val="Normal"/>
    <w:qFormat/>
    <w:pPr>
      <w:spacing w:lineRule="atLeast" w:line="100"/>
    </w:pPr>
    <w:rPr>
      <w:color w:val="0E4194"/>
      <w:sz w:val="15"/>
    </w:rPr>
  </w:style>
  <w:style w:type="paragraph" w:styleId="ECVLinks">
    <w:name w:val="_ECV_Links"/>
    <w:basedOn w:val="ECVContactDetails1"/>
    <w:qFormat/>
    <w:pPr/>
    <w:rPr>
      <w:u w:val="single"/>
    </w:rPr>
  </w:style>
  <w:style w:type="paragraph" w:styleId="ECVBusinessSector">
    <w:name w:val="_ECV_BusinessSector"/>
    <w:basedOn w:val="ECVOrganisationDetails"/>
    <w:qFormat/>
    <w:pPr>
      <w:spacing w:before="113" w:after="0"/>
    </w:pPr>
    <w:rPr/>
  </w:style>
  <w:style w:type="paragraph" w:styleId="ECVLanguageName">
    <w:name w:val="_ECV_LanguageName"/>
    <w:basedOn w:val="ECVLanguageCertificate"/>
    <w:qFormat/>
    <w:pPr>
      <w:jc w:val="right"/>
    </w:pPr>
    <w:rPr>
      <w:sz w:val="18"/>
    </w:rPr>
  </w:style>
  <w:style w:type="paragraph" w:styleId="ECVPersonalInfoHeading">
    <w:name w:val="_ECV_PersonalInfoHeading"/>
    <w:basedOn w:val="ECVLeftHeading"/>
    <w:qFormat/>
    <w:pPr>
      <w:spacing w:before="57" w:after="0"/>
    </w:pPr>
    <w:rPr/>
  </w:style>
  <w:style w:type="paragraph" w:styleId="ECVOccupationalFieldHeading">
    <w:name w:val="_ECV_OccupationalFieldHeading"/>
    <w:basedOn w:val="ECVLeftHeading"/>
    <w:qFormat/>
    <w:pPr>
      <w:spacing w:before="57" w:after="0"/>
    </w:pPr>
    <w:rPr/>
  </w:style>
  <w:style w:type="paragraph" w:styleId="ECVGenderRow">
    <w:name w:val="_ECV_GenderRow"/>
    <w:basedOn w:val="Normal"/>
    <w:qFormat/>
    <w:pPr>
      <w:spacing w:before="85" w:after="0"/>
    </w:pPr>
    <w:rPr>
      <w:color w:val="1593CB"/>
    </w:rPr>
  </w:style>
  <w:style w:type="paragraph" w:styleId="ECVCurriculumVitaeNextPages">
    <w:name w:val="_ECV_CurriculumVitae_NextPages"/>
    <w:basedOn w:val="ECV1stPage"/>
    <w:qFormat/>
    <w:pPr>
      <w:spacing w:before="153" w:after="0"/>
      <w:jc w:val="right"/>
    </w:pPr>
    <w:rPr/>
  </w:style>
  <w:style w:type="paragraph" w:styleId="ECVBusinessSctionRow">
    <w:name w:val="_ECV_BusinessSctionRow"/>
    <w:basedOn w:val="Normal"/>
    <w:qFormat/>
    <w:pPr/>
    <w:rPr/>
  </w:style>
  <w:style w:type="paragraph" w:styleId="ECVBusinessSectorRow">
    <w:name w:val="_ECV_BusinessSectorRow"/>
    <w:basedOn w:val="Normal"/>
    <w:qFormat/>
    <w:pPr/>
    <w:rPr/>
  </w:style>
  <w:style w:type="paragraph" w:styleId="ECVBlueBox">
    <w:name w:val="_ECV_BlueBox"/>
    <w:basedOn w:val="ECVNarrowSpacing"/>
    <w:qFormat/>
    <w:pPr>
      <w:spacing w:before="0" w:after="0"/>
      <w:jc w:val="right"/>
      <w:textAlignment w:val="bottom"/>
    </w:pPr>
    <w:rPr>
      <w:spacing w:val="0"/>
    </w:rPr>
  </w:style>
  <w:style w:type="paragraph" w:styleId="ESP1stPage">
    <w:name w:val="_ESP_1stPage"/>
    <w:basedOn w:val="ECVCurriculumVitaeNextPages"/>
    <w:qFormat/>
    <w:pPr/>
    <w:rPr/>
  </w:style>
  <w:style w:type="paragraph" w:styleId="ESPText">
    <w:name w:val="_ESP_Text"/>
    <w:basedOn w:val="ECVText"/>
    <w:qFormat/>
    <w:pPr/>
    <w:rPr/>
  </w:style>
  <w:style w:type="paragraph" w:styleId="ESPHeading">
    <w:name w:val="_ESP_Heading"/>
    <w:basedOn w:val="ESPText"/>
    <w:qFormat/>
    <w:pPr/>
    <w:rPr>
      <w:b/>
      <w:bCs/>
      <w:sz w:val="32"/>
      <w:szCs w:val="32"/>
    </w:rPr>
  </w:style>
  <w:style w:type="paragraph" w:styleId="Pidipaginaasinistra">
    <w:name w:val="Piè di pagina a sinistra"/>
    <w:basedOn w:val="Normal"/>
    <w:qFormat/>
    <w:pPr>
      <w:suppressLineNumbers/>
    </w:pPr>
    <w:rPr/>
  </w:style>
  <w:style w:type="paragraph" w:styleId="Pidipaginaadestra">
    <w:name w:val="Piè di pagina a destra"/>
    <w:basedOn w:val="Normal"/>
    <w:qFormat/>
    <w:pPr>
      <w:suppressLineNumbers/>
    </w:pPr>
    <w:rPr/>
  </w:style>
  <w:style w:type="paragraph" w:styleId="ECVRelatedDocumentRow">
    <w:name w:val="_ECV_RelatedDocumentRow"/>
    <w:basedOn w:val="ECVBusinessSectorRow"/>
    <w:qFormat/>
    <w:pPr/>
    <w:rPr/>
  </w:style>
  <w:style w:type="paragraph" w:styleId="EuropassSectionDetails">
    <w:name w:val="Europass_SectionDetails"/>
    <w:basedOn w:val="Normal"/>
    <w:qFormat/>
    <w:pPr>
      <w:suppressLineNumbers/>
      <w:spacing w:lineRule="atLeast" w:line="100" w:before="28" w:after="56"/>
    </w:pPr>
    <w:rPr>
      <w:sz w:val="18"/>
    </w:rPr>
  </w:style>
  <w:style w:type="paragraph" w:styleId="Testofumetto">
    <w:name w:val="Testo fumetto"/>
    <w:basedOn w:val="Normal"/>
    <w:qFormat/>
    <w:pPr/>
    <w:rPr>
      <w:rFonts w:ascii="Tahoma" w:hAnsi="Tahoma" w:cs="Tahoma"/>
      <w:szCs w:val="14"/>
    </w:rPr>
  </w:style>
  <w:style w:type="paragraph" w:styleId="Paragrafoelenco">
    <w:name w:val="Paragrafo elenco"/>
    <w:basedOn w:val="Normal"/>
    <w:qFormat/>
    <w:pPr>
      <w:spacing w:before="0" w:after="0"/>
      <w:ind w:hanging="0" w:left="720" w:right="0"/>
      <w:contextualSpacing/>
    </w:pPr>
    <w:rPr/>
  </w:style>
  <w:style w:type="paragraph" w:styleId="Contenutocornice">
    <w:name w:val="Contenuto cornice"/>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doi.org/10.3390/antiox12020341" TargetMode="External"/><Relationship Id="rId4" Type="http://schemas.openxmlformats.org/officeDocument/2006/relationships/hyperlink" Target="https://doi.org/10.3390/nu16162619" TargetMode="External"/><Relationship Id="rId5" Type="http://schemas.openxmlformats.org/officeDocument/2006/relationships/hyperlink" Target="https://doi.org/10.17179/excli2024-7791"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TotalTime>
  <Application>PDF_Converter/1.0.0.0$Windows_X86_64 LibreOffice_project/</Application>
  <AppVersion>15.0000</AppVersion>
  <Pages>10</Pages>
  <Words>2513</Words>
  <Characters>15606</Characters>
  <CharactersWithSpaces>18504</CharactersWithSpaces>
  <Paragraphs>157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2026-10-03T12:13:00Z</dcterms:created>
  <dc:creator>Fenu</dc:creator>
  <dc:description>Europass CV</dc:description>
  <cp:keywords>Europass CV Cedefop</cp:keywords>
  <dc:language>it-IT</dc:language>
  <cp:lastModifiedBy/>
  <cp:lastPrinted>2026-05-07T08:49:00Z</cp:lastPrinted>
  <dcterms:modified xsi:type="dcterms:W3CDTF">2026-10-04T23:00:14Z</dcterms:modified>
  <cp:revision>5</cp:revision>
  <dc:subject>Europass CV</dc:subject>
  <dc:title>Europass CV</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Cedefop Europass Team_x0000__x0000_</vt:lpwstr>
  </property>
  <property fmtid="{D5CDD505-2E9C-101B-9397-08002B2CF9AE}" pid="3" name="Owner">
    <vt:lpwstr>Cedefop Europass Team_x0000__x0000_</vt:lpwstr>
  </property>
</Properties>
</file>